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533" w:right="578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Washington</w:t>
      </w:r>
    </w:p>
    <w:p>
      <w:pPr>
        <w:pStyle w:val="BodyText"/>
        <w:spacing w:before="9"/>
        <w:rPr>
          <w:rFonts w:ascii="Arial Black"/>
          <w:sz w:val="27"/>
        </w:rPr>
      </w:pPr>
    </w:p>
    <w:p>
      <w:pPr>
        <w:spacing w:before="96"/>
        <w:ind w:left="532" w:right="659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Washington Apple Health</w:t>
      </w:r>
    </w:p>
    <w:p>
      <w:pPr>
        <w:spacing w:before="120"/>
        <w:ind w:left="531" w:right="659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Washington State Health Care Authority</w:t>
      </w:r>
    </w:p>
    <w:p>
      <w:pPr>
        <w:spacing w:before="101"/>
        <w:ind w:left="533" w:right="659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Northwest Regional Telehealth Resource Center </w:t>
      </w:r>
      <w:r>
        <w:rPr>
          <w:color w:val="F47920"/>
          <w:sz w:val="22"/>
          <w:u w:val="single" w:color="F47920"/>
        </w:rPr>
        <w:t>https:/</w:t>
      </w:r>
      <w:hyperlink r:id="rId6">
        <w:r>
          <w:rPr>
            <w:color w:val="F47920"/>
            <w:sz w:val="22"/>
            <w:u w:val="single" w:color="F47920"/>
          </w:rPr>
          <w:t>/www.nrtrc.or</w:t>
        </w:r>
      </w:hyperlink>
      <w:r>
        <w:rPr>
          <w:color w:val="F47920"/>
          <w:sz w:val="22"/>
          <w:u w:val="single" w:color="F47920"/>
        </w:rPr>
        <w:t>g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126"/>
        <w:ind w:left="533" w:right="552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Washington Policy At-a-Glance</w:t>
      </w:r>
    </w:p>
    <w:p>
      <w:pPr>
        <w:pStyle w:val="BodyText"/>
        <w:spacing w:before="9"/>
        <w:rPr>
          <w:rFonts w:ascii="Arial Black"/>
          <w:sz w:val="6"/>
        </w:rPr>
      </w:pPr>
    </w:p>
    <w:tbl>
      <w:tblPr>
        <w:tblW w:w="0" w:type="auto"/>
        <w:jc w:val="left"/>
        <w:tblInd w:w="188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714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299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299" cy="114300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299" cy="114300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513"/>
              <w:rPr>
                <w:sz w:val="12"/>
              </w:rPr>
            </w:pPr>
            <w:r>
              <w:rPr>
                <w:color w:val="231F20"/>
                <w:sz w:val="12"/>
              </w:rPr>
              <w:t>IMLC,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rPr>
          <w:rFonts w:ascii="Arial Black"/>
          <w:sz w:val="40"/>
        </w:rPr>
      </w:pPr>
    </w:p>
    <w:p>
      <w:pPr>
        <w:spacing w:before="313"/>
        <w:ind w:left="533" w:right="565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Washington Detailed Policy</w:t>
      </w:r>
    </w:p>
    <w:p>
      <w:pPr>
        <w:pStyle w:val="BodyText"/>
        <w:spacing w:before="8"/>
        <w:rPr>
          <w:rFonts w:ascii="Arial Black"/>
          <w:sz w:val="5"/>
        </w:r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414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325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17" w:right="161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Washington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(Apple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Health)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 patient monitoring under some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Client must be present and participating in telemedicine visit. Clients under the Family Planning Only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– Pregnancy Related program, Family Planning Only program (formerly TAKE CHARGE), First Steps,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and School Based Health Care Service program are eligible for telemedicine through fee-for-service.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sep- arately. All services must be arranged and provided by primary care providers. Providers should contact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 the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85 (Feb. </w:t>
            </w:r>
            <w:r>
              <w:rPr>
                <w:i/>
                <w:color w:val="231F20"/>
                <w:sz w:val="13"/>
              </w:rPr>
              <w:t>2020); (Accessed Feb. 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is covered by the Department.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Admin. Code Sec. 182-531-0100.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HIPAA-compliant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 and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(including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web-based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applications)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 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 the site where the provider 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44" w:lineRule="auto"/>
              <w:ind w:left="645" w:right="2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Admin. Code Sec. 182-531-1730. WA State Health Care Authority, Medicaid Provider Guide, Physician-Related Svcs./Health Care </w:t>
            </w:r>
            <w:r>
              <w:rPr>
                <w:i/>
                <w:color w:val="231F20"/>
                <w:sz w:val="13"/>
              </w:rPr>
              <w:t>Professional Svcs., p. 85 (Feb. 2020); School Based Health Care Services, p. 30 (Jan, 1, 2020); Applied Behavior Analysis (ABA) Program, p. 35 (Jan. 2020); Maternity Support Services and Infant Case Management (Jan. 2020), (Accessed Feb. 2020).</w:t>
            </w:r>
          </w:p>
        </w:tc>
      </w:tr>
    </w:tbl>
    <w:p>
      <w:pPr>
        <w:spacing w:after="0" w:line="244" w:lineRule="auto"/>
        <w:rPr>
          <w:sz w:val="13"/>
        </w:rPr>
        <w:sectPr>
          <w:footerReference w:type="default" r:id="rId5"/>
          <w:type w:val="continuous"/>
          <w:pgSz w:w="12240" w:h="15840"/>
          <w:pgMar w:footer="652" w:top="640" w:bottom="840" w:left="620" w:right="52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3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61" w:right="475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76" w:right="167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Home Health Services</w:t>
            </w:r>
          </w:p>
          <w:p>
            <w:pPr>
              <w:pStyle w:val="TableParagraph"/>
              <w:ind w:left="285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enhance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skilled nursing services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9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collection of clinical data and the transmission of such data between a patient at a distant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processing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technologies. Objective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weight,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blood pressure, pulse, respirations, blood glucose, and pulse oximetry;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8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 communication instead of a 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visit.”</w:t>
            </w:r>
          </w:p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Admin. Code Sec. 182-551-2010. (Accessed Feb.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21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Manuals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(FQHCs),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(RHCs),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Maternity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Sup- port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Nutrition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agency’s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 coverage policy in the Physician-related services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Guide. Federally Qualified Health Centers Manual, Jan. 2020, pg. 65; Rural Health </w:t>
            </w:r>
            <w:r>
              <w:rPr>
                <w:i/>
                <w:color w:val="231F20"/>
                <w:sz w:val="13"/>
              </w:rPr>
              <w:t>Clinics, Jan. 1, 2020; Maternity Support Services Manual, Jan. 1, 2020, pg. 30; Medical Nutrition Therapy Manual, Jan. 1, 2020, pg. 18; Outpa-</w:t>
            </w:r>
          </w:p>
          <w:p>
            <w:pPr>
              <w:pStyle w:val="TableParagraph"/>
              <w:spacing w:before="6"/>
              <w:ind w:left="645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tient Hospital Services Manual, Jan. 1, 2020 pg. 335 (Accessed Feb. 2020).</w:t>
            </w:r>
          </w:p>
        </w:tc>
      </w:tr>
      <w:tr>
        <w:trPr>
          <w:trHeight w:val="186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298" w:right="429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26" w:right="62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69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fee-for-service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nec- essary.</w:t>
            </w:r>
            <w:r>
              <w:rPr>
                <w:color w:val="231F20"/>
                <w:spacing w:val="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necessity.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telemedicine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85 </w:t>
            </w:r>
            <w:r>
              <w:rPr>
                <w:i/>
                <w:color w:val="231F20"/>
                <w:sz w:val="13"/>
              </w:rPr>
              <w:t>(Feb. 2020). (Accessed Feb. 2020). .</w:t>
            </w:r>
          </w:p>
        </w:tc>
      </w:tr>
      <w:tr>
        <w:trPr>
          <w:trHeight w:val="764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256" w:right="225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Physician-Related Services</w:t>
            </w:r>
          </w:p>
          <w:p>
            <w:pPr>
              <w:pStyle w:val="TableParagraph"/>
              <w:ind w:left="285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substitute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hands- on encounter for only those services specifically listed in the telemedicine section of the manual.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agency reimburses medically necessary covered services through telemedicine when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Washington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(Medicaid)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 scope of practice. Place of service 02 to indicate the service was furnished as a telemedi- cine service from the 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86 </w:t>
            </w:r>
            <w:r>
              <w:rPr>
                <w:i/>
                <w:color w:val="231F20"/>
                <w:sz w:val="13"/>
              </w:rPr>
              <w:t>(Feb. 2020).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School Based Services</w:t>
            </w:r>
          </w:p>
          <w:p>
            <w:pPr>
              <w:pStyle w:val="TableParagraph"/>
              <w:ind w:left="285" w:right="340"/>
              <w:jc w:val="both"/>
              <w:rPr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district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furnish- 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 district’s ProviderOne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</w:t>
            </w:r>
            <w:r>
              <w:rPr>
                <w:b/>
                <w:color w:val="231F20"/>
                <w:w w:val="105"/>
                <w:sz w:val="18"/>
              </w:rPr>
              <w:t>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School-Based Health Services, p. 31 (Jan. 2020). (Accessed </w:t>
            </w:r>
            <w:r>
              <w:rPr>
                <w:i/>
                <w:color w:val="231F20"/>
                <w:sz w:val="13"/>
              </w:rPr>
              <w:t>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Applied Behavior Analysis (ABA) for Clients Age 20 and Younger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telemedicine services: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Program supervision when the child 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 training, which does not require the </w:t>
            </w:r>
            <w:r>
              <w:rPr>
                <w:color w:val="231F20"/>
                <w:spacing w:val="-3"/>
                <w:w w:val="105"/>
                <w:sz w:val="18"/>
              </w:rPr>
              <w:t>child’s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presence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LBA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CBT’s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client, 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family,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LBAs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telemed- 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compromising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out- come of the ABA therapy treatment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ABA Treatment fee schedule for telemedicine billing instructions.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Applied Behavior Analysis for Clients 20 and Younger, p. 37 </w:t>
            </w:r>
            <w:r>
              <w:rPr>
                <w:i/>
                <w:color w:val="231F20"/>
                <w:sz w:val="13"/>
              </w:rPr>
              <w:t>(Feb. 2020) &amp; WAC 182-531A-1200.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652" w:top="740" w:bottom="84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727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15" w:right="470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12" w:right="470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073" w:right="206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</w:t>
            </w:r>
          </w:p>
          <w:p>
            <w:pPr>
              <w:pStyle w:val="TableParagraph"/>
              <w:ind w:left="285" w:right="59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 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18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years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store-and-forward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9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orga- nization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in-person; 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service is medically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Revised Code of WA Sec. 71.24.335(1).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Teledentistry</w:t>
            </w:r>
          </w:p>
          <w:p>
            <w:pPr>
              <w:pStyle w:val="TableParagraph"/>
              <w:ind w:left="285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method.</w:t>
            </w:r>
            <w:r>
              <w:rPr>
                <w:color w:val="231F20"/>
                <w:spacing w:val="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 covers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substitute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hands-on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 medically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agency-contracted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viders, and Department of Health teledentistry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dentist or authorized dental provider may delegate allowable tasks to Washington State Registered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Hygienists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Expanded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Function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teledentistry. Delegation of tasks must be under general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manual for acceptable CPT codes.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Provider. Dental-Related Services, p. 83-84. (Jan. 2020).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Mental Health Services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Drug monitoring must be provided during a face-to-face visit with the client, unless it is part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 a qualified telemedicine visit.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Provider. Mental Health Services, p. 38. Jan. 2020, (Accessed Feb. 2020).</w:t>
            </w:r>
          </w:p>
        </w:tc>
      </w:tr>
      <w:tr>
        <w:trPr>
          <w:trHeight w:val="305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2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Rural Health Clinics (RHCs) &amp; FQHCs</w:t>
            </w:r>
          </w:p>
          <w:p>
            <w:pPr>
              <w:pStyle w:val="TableParagraph"/>
              <w:ind w:left="285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RHCs &amp; FQHCs are authorized to serve as an originating site for telemedicine services. RHCs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FQHCs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agency-contracted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MCO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 contact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MCO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Rural Health Clinics, p. 45, Jan. 2020; Federally Qualified </w:t>
            </w:r>
            <w:r>
              <w:rPr>
                <w:i/>
                <w:color w:val="231F20"/>
                <w:sz w:val="13"/>
              </w:rPr>
              <w:t>Health Centers, p. 65.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Tribal Health Program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encounter can be conducted face-to-face or via real-time telemedicine.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Tribal Health Program, p. 24, Jan. 2020, (Accessed Feb. 2020).</w:t>
            </w:r>
          </w:p>
        </w:tc>
      </w:tr>
      <w:tr>
        <w:trPr>
          <w:trHeight w:val="347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13" w:right="110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Eligible Originating Sites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 center/chemical dependency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Dental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offices;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Hospitals—inpatient 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Neurodevelopmental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Physician’s or other health care provider’s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Renal dialysis centers, except an independent renal dialysis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Schools;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652" w:top="68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9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19" w:right="380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816" w:right="380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74" w:right="136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(referring)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 telemedicine is medically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necessary.</w:t>
            </w:r>
          </w:p>
          <w:p>
            <w:pPr>
              <w:pStyle w:val="TableParagraph"/>
              <w:spacing w:before="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WAC 182-531-1730.(3) &amp; WA State Health Care Authority, Medicaid Provider Guide, Physician-Related Svcs./Health Care </w:t>
            </w:r>
            <w:r>
              <w:rPr>
                <w:i/>
                <w:color w:val="231F20"/>
                <w:sz w:val="13"/>
              </w:rPr>
              <w:t>Professional Svcs., p. 85 &amp; 86 (Feb. 2020).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School-Based Health Care Services (SBHS)</w:t>
            </w:r>
          </w:p>
          <w:p>
            <w:pPr>
              <w:pStyle w:val="TableParagraph"/>
              <w:ind w:left="249" w:right="2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 the originating site is a school, the school district must submit a claim on behalf of both the originating and distant site. The location of the student and provider must be docu- mented. The SBHS program allows the following approved originating sites: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9" w:val="left" w:leader="none"/>
                <w:tab w:pos="610" w:val="left" w:leader="none"/>
              </w:tabs>
              <w:spacing w:line="240" w:lineRule="auto" w:before="0" w:after="0"/>
              <w:ind w:left="60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students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(Part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609" w:val="left" w:leader="none"/>
                <w:tab w:pos="610" w:val="left" w:leader="none"/>
              </w:tabs>
              <w:spacing w:line="240" w:lineRule="auto" w:before="0" w:after="0"/>
              <w:ind w:left="60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home for students age birth through two (Part C services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only)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manual for specific scenarios and appropriate modifiers.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School Based Health Care Services, p. 31-32 (Jan. 2020),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</w:tc>
      </w:tr>
      <w:tr>
        <w:trPr>
          <w:trHeight w:val="29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5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504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9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skilled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facili- ties,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87 </w:t>
            </w:r>
            <w:r>
              <w:rPr>
                <w:i/>
                <w:color w:val="231F20"/>
                <w:sz w:val="13"/>
              </w:rPr>
              <w:t>(Feb. 2020).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FQHCs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 paid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 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p. 45, Jan. 2020 &amp; Federally Qualified Health Centers, p. 65.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School-Based Health Care Services (SBHS)</w:t>
            </w:r>
          </w:p>
          <w:p>
            <w:pPr>
              <w:pStyle w:val="TableParagraph"/>
              <w:ind w:left="249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district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 completed 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School Based Health Care Services, p. 31 (Jan. 2020), (Ac- </w:t>
            </w:r>
            <w:r>
              <w:rPr>
                <w:i/>
                <w:color w:val="231F20"/>
                <w:sz w:val="13"/>
              </w:rPr>
              <w:t>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Dental Related Services</w:t>
            </w: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facility fee is included in the CPT code. There is no separate facility fee for teledentistry.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Dental Services, p. 84 (Jan. 2020).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652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90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95" w:right="388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892" w:right="388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654" w:right="264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Washington Medicaid reimburses for some store-and-forward services under certain circumstances.</w:t>
            </w:r>
            <w:r>
              <w:rPr>
                <w:color w:val="231F20"/>
                <w:spacing w:val="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 be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</w:t>
            </w:r>
          </w:p>
          <w:p>
            <w:pPr>
              <w:pStyle w:val="TableParagraph"/>
              <w:spacing w:line="247" w:lineRule="auto" w:before="1"/>
              <w:ind w:left="717" w:right="231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p. 85 (Feb. 2020). &amp; WA State Health Care Authority, Medicaid Provider. Dental-Related Services, p. 83. (Feb. 2020) (Accessed </w:t>
            </w:r>
            <w:r>
              <w:rPr>
                <w:i/>
                <w:color w:val="231F20"/>
                <w:sz w:val="13"/>
              </w:rPr>
              <w:t>Feb. 2020).</w:t>
            </w:r>
          </w:p>
          <w:p>
            <w:pPr>
              <w:pStyle w:val="TableParagraph"/>
              <w:spacing w:before="8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teledermatology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 conditions 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0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asyn- chronous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infor- mation: video clips, still images, x-rays, MRIs, electrocardiograms and electro- encephalograms, laboratory results, audio clips, and text. The visit results in a documented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back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transmission of information is </w:t>
            </w:r>
            <w:r>
              <w:rPr>
                <w:color w:val="231F20"/>
                <w:spacing w:val="-3"/>
                <w:w w:val="105"/>
                <w:sz w:val="18"/>
              </w:rPr>
              <w:t>HIPAA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3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used and who the consulting 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 the consultation results in a face-to-face visit in-person or via telemedicine with the specialist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60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consult.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</w:t>
            </w:r>
            <w:r>
              <w:rPr>
                <w:i/>
                <w:color w:val="231F20"/>
                <w:sz w:val="13"/>
              </w:rPr>
              <w:t>89 (Feb. 2020). (Accessed Feb. 2020).</w:t>
            </w:r>
          </w:p>
        </w:tc>
      </w:tr>
      <w:tr>
        <w:trPr>
          <w:trHeight w:val="630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932" w:right="192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8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teledermatology.</w:t>
            </w:r>
            <w:r>
              <w:rPr>
                <w:color w:val="231F20"/>
                <w:spacing w:val="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Teledermatology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GQ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02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distant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sending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usual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E&amp;M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modifier.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manual for acceptable CPT/HCPCS codes.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</w:t>
            </w:r>
            <w:r>
              <w:rPr>
                <w:i/>
                <w:color w:val="231F20"/>
                <w:sz w:val="13"/>
              </w:rPr>
              <w:t>89 (Feb. 2020).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Teledentistry</w:t>
            </w:r>
          </w:p>
          <w:p>
            <w:pPr>
              <w:pStyle w:val="TableParagraph"/>
              <w:ind w:left="357" w:right="2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Teledentistry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method.</w:t>
            </w:r>
            <w:r>
              <w:rPr>
                <w:color w:val="231F20"/>
                <w:spacing w:val="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agen- cy covers teledentistry as a substitute for an in-person, face-to-face, hands-on encounter when medically necessary. For asynchronous teledentistry, the </w:t>
            </w:r>
            <w:r>
              <w:rPr>
                <w:color w:val="231F20"/>
                <w:spacing w:val="-3"/>
                <w:w w:val="105"/>
                <w:sz w:val="18"/>
              </w:rPr>
              <w:t>client’s </w:t>
            </w:r>
            <w:r>
              <w:rPr>
                <w:color w:val="231F20"/>
                <w:w w:val="105"/>
                <w:sz w:val="18"/>
              </w:rPr>
              <w:t>dental clinical information is sent via store-and-forward technology from the originating site to a dentist 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subsequent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later point in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manual for acceptable CPT codes.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Provider. Dental-Related Services, p. 83-84. (Jan. 2020) (Accessed Feb.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Organizations</w:t>
            </w:r>
          </w:p>
          <w:p>
            <w:pPr>
              <w:pStyle w:val="TableParagraph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Store-and-forward reimbursable only for covered services specified in the negotiated agreement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RCW 71.24.335(2(b)),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652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932" w:right="392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89" w:right="148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4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originating site for store-and-forward is not eligible to receive an originating site fee.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56" w:lineRule="auto" w:before="1"/>
              <w:ind w:left="717" w:right="26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</w:t>
            </w:r>
            <w:r>
              <w:rPr>
                <w:i/>
                <w:color w:val="231F20"/>
                <w:sz w:val="13"/>
              </w:rPr>
              <w:t>89 (Feb. 2020). (Accessed Feb. 2020).</w:t>
            </w:r>
          </w:p>
        </w:tc>
      </w:tr>
      <w:tr>
        <w:trPr>
          <w:trHeight w:val="240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560" w:right="255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96" w:right="89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clients who have been diagnosed with an unstable condition who may be at risk for hos- pitalization or a more costly level of care. The client must have a diagnosis or diagnoses where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sudden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change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compromise 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outcomes.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56" w:lineRule="auto"/>
              <w:ind w:left="717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Home Health Svcs. (Acute Care Svcs.), p. 30 (Jan. 2020).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</w:tc>
      </w:tr>
      <w:tr>
        <w:trPr>
          <w:trHeight w:val="286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7" w:right="91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are provided for clients who have been diagnosed with an unstable condition, and who may be at risk for hospitalization or a more costly level of care. See manual for eligible codes.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day,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order- 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</w:p>
          <w:p>
            <w:pPr>
              <w:pStyle w:val="TableParagraph"/>
              <w:ind w:left="357" w:right="35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problem,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implementation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documented management plan. See manual for more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7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Home Health Svcs. (Acute Care Svcs.), p. 30-31 (Jan. </w:t>
            </w:r>
            <w:r>
              <w:rPr>
                <w:i/>
                <w:color w:val="231F20"/>
                <w:sz w:val="13"/>
              </w:rPr>
              <w:t>2020).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3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 be provided by a Registered Nurse or Licensed Practical Nurse.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services through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Home Health Svcs. (Acute Care Svcs.), p. 30-31 (Jul. 2019).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65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84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41" w:right="382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4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Services: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9" w:val="left" w:leader="none"/>
                <w:tab w:pos="360" w:val="left" w:leader="none"/>
              </w:tabs>
              <w:spacing w:line="240" w:lineRule="auto" w:before="0" w:after="0"/>
              <w:ind w:left="1077" w:right="807" w:hanging="1078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vital</w:t>
            </w:r>
          </w:p>
          <w:p>
            <w:pPr>
              <w:pStyle w:val="TableParagraph"/>
              <w:ind w:right="816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levels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biometric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measures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previous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changes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5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Detection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changes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 indicate the need for a change in the plan of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Implementation of a management plan (see manual for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details).</w:t>
            </w:r>
          </w:p>
          <w:p>
            <w:pPr>
              <w:pStyle w:val="TableParagraph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Home Health Svcs. (Acute Care Svcs.), p. 31 (Feb. 2020). </w:t>
            </w:r>
            <w:r>
              <w:rPr>
                <w:i/>
                <w:color w:val="231F20"/>
                <w:sz w:val="13"/>
              </w:rPr>
              <w:t>(Accessed Feb. 2020).</w:t>
            </w:r>
          </w:p>
          <w:p>
            <w:pPr>
              <w:pStyle w:val="TableParagraph"/>
              <w:spacing w:before="8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 health monitoring is not covered in Applied Behavior Analysis Program for clients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Age 20 or younger.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3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Applied Behavior Analysis for Clients 20 and Younger, p. 37 </w:t>
            </w:r>
            <w:r>
              <w:rPr>
                <w:i/>
                <w:color w:val="231F20"/>
                <w:sz w:val="13"/>
              </w:rPr>
              <w:t>(Feb. 2020). (Accessed Feb. 2020).</w:t>
            </w:r>
          </w:p>
        </w:tc>
      </w:tr>
      <w:tr>
        <w:trPr>
          <w:trHeight w:val="357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0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email.</w:t>
            </w:r>
          </w:p>
          <w:p>
            <w:pPr>
              <w:pStyle w:val="TableParagraph"/>
              <w:ind w:left="357" w:right="54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for FAX.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Teledermatology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single-mode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transmit- ted via facsimile machines, or 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44" w:lineRule="auto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85 &amp; 89 </w:t>
            </w:r>
            <w:r>
              <w:rPr>
                <w:i/>
                <w:color w:val="231F20"/>
                <w:sz w:val="13"/>
              </w:rPr>
              <w:t>(Feb. 2020), School-Based Health Care Services, p. 30 (Jan. 2020); Applied Behavioral Analysis (ABA) Program, p. 37, (Accessed Feb. 2020).</w:t>
            </w:r>
          </w:p>
          <w:p>
            <w:pPr>
              <w:pStyle w:val="TableParagraph"/>
              <w:spacing w:before="13"/>
              <w:rPr>
                <w:rFonts w:ascii="Arial Black"/>
                <w:sz w:val="11"/>
              </w:rPr>
            </w:pPr>
          </w:p>
          <w:p>
            <w:pPr>
              <w:pStyle w:val="TableParagraph"/>
              <w:spacing w:before="1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teledentist- ry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Dental-Related Services, p. 83, Jan. 2020,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Written consent must be obtained for store-and-forward.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89 (Feb. </w:t>
            </w:r>
            <w:r>
              <w:rPr>
                <w:i/>
                <w:color w:val="231F20"/>
                <w:sz w:val="13"/>
              </w:rPr>
              <w:t>2020).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652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5360" w:hRule="atLeast"/>
        </w:trPr>
        <w:tc>
          <w:tcPr>
            <w:tcW w:w="1080" w:type="dxa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763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</w:t>
            </w:r>
            <w:r>
              <w:rPr>
                <w:rFonts w:ascii="Arial Black"/>
                <w:color w:val="FFFFFF"/>
                <w:spacing w:val="-51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94" w:right="199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 place of service (POS) 02 to indicate that a billed service was furnished as a telemedicine 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Critical Access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modifier.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95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distant site is designated as 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nonfacility.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88 (Feb. </w:t>
            </w:r>
            <w:r>
              <w:rPr>
                <w:i/>
                <w:color w:val="231F20"/>
                <w:sz w:val="13"/>
              </w:rPr>
              <w:t>2020). (Accessed Feb.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Additional Documentation Requirements for Telemedicine: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Verification that the service was provided via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personnel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location of 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5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names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credentials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(MD,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7"/>
                <w:w w:val="105"/>
                <w:sz w:val="18"/>
              </w:rPr>
              <w:t>ARNP,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RN,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PA,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CNA,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etc.)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people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role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86 (Feb. </w:t>
            </w:r>
            <w:r>
              <w:rPr>
                <w:i/>
                <w:color w:val="231F20"/>
                <w:sz w:val="13"/>
              </w:rPr>
              <w:t>2020).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clearly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 identified in the </w:t>
            </w:r>
            <w:r>
              <w:rPr>
                <w:color w:val="231F20"/>
                <w:spacing w:val="-3"/>
                <w:w w:val="105"/>
                <w:sz w:val="18"/>
              </w:rPr>
              <w:t>client’s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record.”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State Health Care Authority, Medicaid Provider Guide, Physician-Related Svcs./Health Care Professional Svcs., p. 87 (Feb. </w:t>
            </w:r>
            <w:r>
              <w:rPr>
                <w:i/>
                <w:color w:val="231F20"/>
                <w:sz w:val="13"/>
              </w:rPr>
              <w:t>2020). (Accessed Feb. 2020).</w:t>
            </w:r>
          </w:p>
        </w:tc>
      </w:tr>
      <w:tr>
        <w:trPr>
          <w:trHeight w:val="1843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896" w:right="289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video technology, permitting real-time communication between the patient at the originating site 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sec- 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only,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 Rev. Code Sec. 48.43.735.(8(g)) &amp; Sec. 41.05.700((8(g). (Accessed Feb. 2020).</w:t>
            </w:r>
          </w:p>
        </w:tc>
      </w:tr>
      <w:tr>
        <w:trPr>
          <w:trHeight w:val="627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72" w:right="247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(including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for services delivered through telemedicine or store-and-forward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plan provides coverage when 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health care service is medically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4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recognized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essential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sec- 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1302(b)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protection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affordable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(ACA);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1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health care service is determined to be safely and effectively provided through tele- medicine or store-and-forward technology according to generally accepted health care practices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 the standards required by state and federal laws governing the privacy and security of protected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RCW 48.43.735.(1) &amp; Sec. 41.05.700.(1),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  <w:u w:val="single" w:color="231F20"/>
              </w:rPr>
              <w:t>Eligible Originating Sites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Physician’s or other health care provider’s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Renal dialysis </w:t>
            </w:r>
            <w:r>
              <w:rPr>
                <w:color w:val="231F20"/>
                <w:spacing w:val="-3"/>
                <w:w w:val="105"/>
                <w:sz w:val="18"/>
              </w:rPr>
              <w:t>center, </w:t>
            </w:r>
            <w:r>
              <w:rPr>
                <w:color w:val="231F20"/>
                <w:w w:val="105"/>
                <w:sz w:val="18"/>
              </w:rPr>
              <w:t>except an independent renal dialysis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480" w:lineRule="auto" w:before="0" w:after="0"/>
              <w:ind w:left="357" w:right="882" w:firstLine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 Originating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distinguish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rural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urban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</w:t>
            </w:r>
          </w:p>
          <w:p>
            <w:pPr>
              <w:pStyle w:val="TableParagraph"/>
              <w:spacing w:line="160" w:lineRule="exact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RCW 48.43.735.(3) &amp; Sec. 41.05.700.(3), (Accessed Feb. 2020).</w:t>
            </w:r>
          </w:p>
        </w:tc>
      </w:tr>
    </w:tbl>
    <w:p>
      <w:pPr>
        <w:spacing w:after="0" w:line="160" w:lineRule="exact"/>
        <w:rPr>
          <w:sz w:val="13"/>
        </w:rPr>
        <w:sectPr>
          <w:pgSz w:w="12240" w:h="15840"/>
          <w:pgMar w:header="0" w:footer="65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400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354" w:right="235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3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(other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negotiated agreement between the originating site and the health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RCW 48.43.735.(4) &amp; Sec. 41.05.700.(4),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 the services are provided via store-and-forward, there must be an associated office visit between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patient and referring health care provider.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RCW 48.43.735.(2(a)) &amp; Sec. 41.05.700.(2(a)),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89" w:right="148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8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must be considered an essential health benefit under the ACA and be determined</w:t>
            </w:r>
          </w:p>
          <w:p>
            <w:pPr>
              <w:pStyle w:val="TableParagraph"/>
              <w:spacing w:before="4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to be safely and effectively provided through telemedicine or store-and-forward.</w:t>
            </w:r>
          </w:p>
          <w:p>
            <w:pPr>
              <w:pStyle w:val="TableParagraph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717"/>
              <w:rPr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color w:val="231F20"/>
                <w:sz w:val="13"/>
              </w:rPr>
              <w:t>RCW 48.43.735.(1(c)) &amp; Sec. 41.05.700.(1(c)), (Accessed Feb.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3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explicit payment parity.</w:t>
            </w:r>
          </w:p>
        </w:tc>
      </w:tr>
      <w:tr>
        <w:trPr>
          <w:trHeight w:val="6188" w:hRule="atLeast"/>
        </w:trPr>
        <w:tc>
          <w:tcPr>
            <w:tcW w:w="1080" w:type="dxa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647" w:right="64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43" w:right="64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interactive audio and video technology, permitting real-time communication between the patient 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only,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‘telemedicine’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 facsimile, or</w:t>
            </w:r>
            <w:r>
              <w:rPr>
                <w:color w:val="231F20"/>
                <w:spacing w:val="-3"/>
                <w:w w:val="105"/>
                <w:sz w:val="18"/>
              </w:rPr>
              <w:t> email.”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RCW 70.41.020(13) &amp; WAC 246-335-610.(21) (Accessed Feb.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Hospice and Home Health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collection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enhancing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health education delivery and support using telecommunications technology. Telehealth encom- passes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broad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variety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tactics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virtual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 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video technology, permitting real-time communication between the patient at the originating site and the </w:t>
            </w:r>
            <w:r>
              <w:rPr>
                <w:color w:val="231F20"/>
                <w:spacing w:val="-3"/>
                <w:w w:val="105"/>
                <w:sz w:val="18"/>
              </w:rPr>
              <w:t>provider, </w:t>
            </w:r>
            <w:r>
              <w:rPr>
                <w:color w:val="231F20"/>
                <w:w w:val="105"/>
                <w:sz w:val="18"/>
              </w:rPr>
              <w:t>for the purpose of diagnosis, consultation, or treatment. Telemedicine does not include the use of audio-only telephone, facsimile, or electronic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WAC 246-335-610.(20) &amp; (21); WAC 246-335-510(22) &amp; (23) (Accessed Feb.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Physical and Occupational Therapy</w:t>
            </w: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[or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therapy]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communica- tion where the physical [occupational] therapist or physical [or occupational] therapist assistant and the patient are not at the same physical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WAC 246-915-187(3(a)) &amp; 246-847-176.(1)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65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637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502" w:right="350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15" w:right="91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 with medical care involving in-person contact, a practitioner should obtain and document ap- propriate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unique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characteristics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Telemedicine, it is best practice for the informed consent to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8" w:val="left" w:leader="none"/>
              </w:tabs>
              <w:spacing w:line="240" w:lineRule="auto" w:before="0" w:after="0"/>
              <w:ind w:left="1077" w:right="468" w:hanging="36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Reasonable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understanding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enabling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utilized,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capa- bilities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limitations,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mutual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circum- stances;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8" w:val="left" w:leader="none"/>
              </w:tabs>
              <w:spacing w:line="240" w:lineRule="auto" w:before="0" w:after="0"/>
              <w:ind w:left="1077" w:right="0" w:hanging="36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credentials of 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Washington Medical Quality Assurance Commission, Guidelines for Appropriate Use of the Internet in Medical Practice, p. 3, Oct. </w:t>
            </w:r>
            <w:r>
              <w:rPr>
                <w:i/>
                <w:color w:val="231F20"/>
                <w:sz w:val="13"/>
              </w:rPr>
              <w:t>3, 2014, (Accessed Feb. 2020).</w:t>
            </w:r>
          </w:p>
        </w:tc>
      </w:tr>
      <w:tr>
        <w:trPr>
          <w:trHeight w:val="6855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552" w:right="255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medical practices. A guideline does not have the force of </w:t>
            </w:r>
            <w:r>
              <w:rPr>
                <w:color w:val="231F20"/>
                <w:spacing w:val="-3"/>
                <w:w w:val="105"/>
                <w:sz w:val="18"/>
              </w:rPr>
              <w:t>law, </w:t>
            </w:r>
            <w:r>
              <w:rPr>
                <w:color w:val="231F20"/>
                <w:w w:val="105"/>
                <w:sz w:val="18"/>
              </w:rPr>
              <w:t>but can be considered by the Com- mission to be the standard of practice in the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precede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includ- ing provision 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itself,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practitioner-patient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relation- ship,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therefore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constitute an acceptable standard 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Careful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DEA-controlled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compliance with all laws and regulations pertaining to such prescriptions is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expected.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 does not constitute an acceptable standard 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0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Washington Medical Quality Assurance Commission, Guidelines for Appropriate Use of the Internet in Medical Practice, p. 3-4, </w:t>
            </w:r>
            <w:r>
              <w:rPr>
                <w:i/>
                <w:color w:val="231F20"/>
                <w:sz w:val="13"/>
              </w:rPr>
              <w:t>Oct. 3, 2014, (Accessed Feb.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marijuana,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 physical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met.</w:t>
            </w:r>
            <w:r>
              <w:rPr>
                <w:color w:val="231F20"/>
                <w:spacing w:val="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 physical examination to authorize the use of marijuana for medical purposes, the health care pro- 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subsequent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exam- inations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attend 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renew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likely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severe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hardship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qualifying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emotional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Revised Code Washington Sec. 69.51A.030. (Accessed Feb.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5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IMLC. (Accessed Feb.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Physical Therapy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PT Compact. Compact Map. (Accessed Feb.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652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8085" w:hRule="atLeast"/>
        </w:trPr>
        <w:tc>
          <w:tcPr>
            <w:tcW w:w="1080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603" w:right="159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01" w:right="15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Beginning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Jan.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2020,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January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2020,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collaborative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 make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web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profes- sional shall sign and retain an attestation. The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1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law,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liability,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other criteria established by the collaborative for the advancement of telemedicine, in collaboration with the department and the Washington state medical quality assurance commission;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4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answer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accrual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knowledge; and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format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internet.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6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incorporated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existing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training meets the requirements in subsection (2) of this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RCW Sec. 43.70.495.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directory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updated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monthly.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associated provider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directory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specifically described for each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WAC 284-43-204. (Accessed Feb.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 w:right="3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Collaborative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advancement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created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im- proving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concept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parity. They were required to submit policy reports with recommendations in December 2017, and 2018, and are required to issue another in December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2021.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SB 6163 - 2018.  (Accessed Feb.</w:t>
            </w:r>
            <w:r>
              <w:rPr>
                <w:i/>
                <w:color w:val="231F20"/>
                <w:spacing w:val="-18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2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SB 6399 – 2018. (Accessed Feb.</w:t>
            </w:r>
            <w:r>
              <w:rPr>
                <w:i/>
                <w:color w:val="231F20"/>
                <w:spacing w:val="-17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Telehealth-Specific Regulations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Physical Therapy Practice Board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3"/>
              </w:rPr>
              <w:t>(WAC 246-915-187) </w:t>
            </w:r>
            <w:r>
              <w:rPr>
                <w:i/>
                <w:color w:val="231F20"/>
                <w:w w:val="105"/>
                <w:sz w:val="13"/>
              </w:rPr>
              <w:t>(Accessed Feb. 2020).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Occupational Therapy Practice Board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3"/>
              </w:rPr>
              <w:t>(WAC 246-847-176) </w:t>
            </w:r>
            <w:r>
              <w:rPr>
                <w:i/>
                <w:color w:val="231F20"/>
                <w:w w:val="105"/>
                <w:sz w:val="13"/>
              </w:rPr>
              <w:t>(Accessed Feb. 2020).</w:t>
            </w:r>
          </w:p>
        </w:tc>
      </w:tr>
    </w:tbl>
    <w:sectPr>
      <w:pgSz w:w="12240" w:h="15840"/>
      <w:pgMar w:header="0" w:footer="652" w:top="700" w:bottom="1000" w:left="6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drawing>
        <wp:anchor distT="0" distB="0" distL="0" distR="0" allowOverlap="1" layoutInCell="1" locked="0" behindDoc="1" simplePos="0" relativeHeight="250767360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686005pt;margin-top:736.529297pt;width:77.4pt;height:16.45pt;mso-position-horizontal-relative:page;mso-position-vertical-relative:page;z-index:-25254809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75"/>
                    <w:sz w:val="20"/>
                  </w:rPr>
                  <w:t>WASHINGTON /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7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54707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0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35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60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r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2020-05-25T20:12:50Z</dcterms:created>
  <dcterms:modified xsi:type="dcterms:W3CDTF">2020-05-25T20:12:50Z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