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1277" w:right="1299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Rhode</w:t>
      </w:r>
      <w:r>
        <w:rPr>
          <w:rFonts w:ascii="Arial Black"/>
          <w:color w:val="F47920"/>
          <w:spacing w:val="-54"/>
          <w:w w:val="85"/>
          <w:sz w:val="80"/>
        </w:rPr>
        <w:t> </w:t>
      </w:r>
      <w:r>
        <w:rPr>
          <w:rFonts w:ascii="Arial Black"/>
          <w:color w:val="F47920"/>
          <w:w w:val="85"/>
          <w:sz w:val="80"/>
        </w:rPr>
        <w:t>Island</w:t>
      </w:r>
    </w:p>
    <w:p>
      <w:pPr>
        <w:pStyle w:val="BodyText"/>
        <w:spacing w:before="9"/>
        <w:rPr>
          <w:rFonts w:ascii="Arial Black"/>
          <w:sz w:val="27"/>
        </w:rPr>
      </w:pPr>
    </w:p>
    <w:p>
      <w:pPr>
        <w:spacing w:before="96"/>
        <w:ind w:left="1275" w:right="1383" w:firstLine="0"/>
        <w:jc w:val="center"/>
        <w:rPr>
          <w:sz w:val="20"/>
        </w:rPr>
      </w:pPr>
      <w:r>
        <w:rPr>
          <w:b/>
          <w:color w:val="534F4C"/>
          <w:sz w:val="20"/>
        </w:rPr>
        <w:t>Medicaid</w:t>
      </w:r>
      <w:r>
        <w:rPr>
          <w:b/>
          <w:color w:val="534F4C"/>
          <w:spacing w:val="-7"/>
          <w:sz w:val="20"/>
        </w:rPr>
        <w:t> </w:t>
      </w:r>
      <w:r>
        <w:rPr>
          <w:b/>
          <w:color w:val="534F4C"/>
          <w:sz w:val="20"/>
        </w:rPr>
        <w:t>Program:</w:t>
      </w:r>
      <w:r>
        <w:rPr>
          <w:b/>
          <w:color w:val="534F4C"/>
          <w:spacing w:val="-6"/>
          <w:sz w:val="20"/>
        </w:rPr>
        <w:t> </w:t>
      </w:r>
      <w:r>
        <w:rPr>
          <w:color w:val="786D6A"/>
          <w:sz w:val="20"/>
        </w:rPr>
        <w:t>Rhode</w:t>
      </w:r>
      <w:r>
        <w:rPr>
          <w:color w:val="786D6A"/>
          <w:spacing w:val="-6"/>
          <w:sz w:val="20"/>
        </w:rPr>
        <w:t> </w:t>
      </w:r>
      <w:r>
        <w:rPr>
          <w:color w:val="786D6A"/>
          <w:sz w:val="20"/>
        </w:rPr>
        <w:t>Island</w:t>
      </w:r>
      <w:r>
        <w:rPr>
          <w:color w:val="786D6A"/>
          <w:spacing w:val="-6"/>
          <w:sz w:val="20"/>
        </w:rPr>
        <w:t> </w:t>
      </w:r>
      <w:r>
        <w:rPr>
          <w:color w:val="786D6A"/>
          <w:sz w:val="20"/>
        </w:rPr>
        <w:t>Medical</w:t>
      </w:r>
      <w:r>
        <w:rPr>
          <w:color w:val="786D6A"/>
          <w:spacing w:val="-6"/>
          <w:sz w:val="20"/>
        </w:rPr>
        <w:t> </w:t>
      </w:r>
      <w:r>
        <w:rPr>
          <w:color w:val="786D6A"/>
          <w:sz w:val="20"/>
        </w:rPr>
        <w:t>Assistance</w:t>
      </w:r>
      <w:r>
        <w:rPr>
          <w:color w:val="786D6A"/>
          <w:spacing w:val="-6"/>
          <w:sz w:val="20"/>
        </w:rPr>
        <w:t> </w:t>
      </w:r>
      <w:r>
        <w:rPr>
          <w:color w:val="786D6A"/>
          <w:sz w:val="20"/>
        </w:rPr>
        <w:t>Program</w:t>
      </w:r>
    </w:p>
    <w:p>
      <w:pPr>
        <w:spacing w:before="120"/>
        <w:ind w:left="1277" w:right="1383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Rhode Island Dept. of Human</w:t>
      </w:r>
      <w:r>
        <w:rPr>
          <w:color w:val="786D6A"/>
          <w:spacing w:val="-29"/>
          <w:sz w:val="20"/>
        </w:rPr>
        <w:t> </w:t>
      </w:r>
      <w:r>
        <w:rPr>
          <w:color w:val="786D6A"/>
          <w:sz w:val="20"/>
        </w:rPr>
        <w:t>Services</w:t>
      </w:r>
    </w:p>
    <w:p>
      <w:pPr>
        <w:spacing w:before="101"/>
        <w:ind w:left="1277" w:right="1383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Northeast Telehealth Resource Center </w:t>
      </w:r>
      <w:hyperlink r:id="rId6">
        <w:r>
          <w:rPr>
            <w:color w:val="F47920"/>
            <w:sz w:val="22"/>
            <w:u w:val="single" w:color="F47920"/>
          </w:rPr>
          <w:t>http://netrc.org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spacing w:before="126"/>
      </w:pPr>
      <w:r>
        <w:rPr>
          <w:color w:val="534F4C"/>
          <w:w w:val="80"/>
        </w:rPr>
        <w:t>Rhode Island At-a-Glance</w:t>
      </w:r>
    </w:p>
    <w:p>
      <w:pPr>
        <w:pStyle w:val="BodyText"/>
        <w:spacing w:before="9"/>
        <w:rPr>
          <w:rFonts w:ascii="Arial Black"/>
          <w:sz w:val="6"/>
        </w:rPr>
      </w:pPr>
    </w:p>
    <w:tbl>
      <w:tblPr>
        <w:tblW w:w="0" w:type="auto"/>
        <w:jc w:val="left"/>
        <w:tblInd w:w="160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8"/>
              <w:rPr>
                <w:sz w:val="12"/>
              </w:rPr>
            </w:pPr>
            <w:r>
              <w:rPr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144"/>
              <w:rPr>
                <w:sz w:val="12"/>
              </w:rPr>
            </w:pPr>
            <w:r>
              <w:rPr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06" w:hanging="122"/>
              <w:rPr>
                <w:sz w:val="12"/>
              </w:rPr>
            </w:pPr>
            <w:r>
              <w:rPr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282"/>
              <w:rPr>
                <w:sz w:val="12"/>
              </w:rPr>
            </w:pPr>
            <w:r>
              <w:rPr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367" w:firstLine="140"/>
              <w:rPr>
                <w:sz w:val="12"/>
              </w:rPr>
            </w:pPr>
            <w:r>
              <w:rPr>
                <w:color w:val="231F20"/>
                <w:sz w:val="12"/>
              </w:rPr>
              <w:t>CONSENT 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99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8" cy="113919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1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299" cy="114300"/>
                  <wp:effectExtent l="0" t="0" r="0" b="0"/>
                  <wp:docPr id="1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6"/>
        <w:rPr>
          <w:rFonts w:ascii="Arial Black"/>
          <w:sz w:val="53"/>
        </w:rPr>
      </w:pPr>
    </w:p>
    <w:p>
      <w:pPr>
        <w:spacing w:before="0" w:after="59"/>
        <w:ind w:left="1277" w:right="1347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Rhode Island Detailed Policy</w:t>
      </w: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39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597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</w:t>
            </w:r>
            <w:r>
              <w:rPr>
                <w:rFonts w:ascii="Arial Black"/>
                <w:color w:val="FFFFFF"/>
                <w:spacing w:val="-58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Rhode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Island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live-video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vides no reimbursement for store-and-forward or remote patient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monitoring.</w:t>
            </w:r>
          </w:p>
        </w:tc>
      </w:tr>
      <w:tr>
        <w:trPr>
          <w:trHeight w:val="139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6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41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96" w:right="159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6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Rhode Island Medicaid’s fee schedule lists several telehealth service CPT codes related to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follow-up and inpatient telehealth consultations under procedure/professional 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RI Department of Health. Medicaid Fee Schedule Rates. (Accessed Feb. 2020).</w:t>
            </w:r>
          </w:p>
        </w:tc>
      </w:tr>
      <w:tr>
        <w:trPr>
          <w:trHeight w:val="269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2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Eligible</w:t>
            </w:r>
            <w:r>
              <w:rPr>
                <w:rFonts w:ascii="Arial Black"/>
                <w:color w:val="FFFFFF"/>
                <w:spacing w:val="-29"/>
                <w:w w:val="80"/>
                <w:sz w:val="20"/>
              </w:rPr>
              <w:t> </w:t>
            </w:r>
            <w:r>
              <w:rPr>
                <w:rFonts w:ascii="Arial Black"/>
                <w:color w:val="FFFFFF"/>
                <w:w w:val="80"/>
                <w:sz w:val="20"/>
              </w:rPr>
              <w:t>Services</w:t>
            </w:r>
            <w:r>
              <w:rPr>
                <w:rFonts w:ascii="Arial Black"/>
                <w:color w:val="FFFFFF"/>
                <w:spacing w:val="-29"/>
                <w:w w:val="80"/>
                <w:sz w:val="20"/>
              </w:rPr>
              <w:t> </w:t>
            </w:r>
            <w:r>
              <w:rPr>
                <w:rFonts w:ascii="Arial Black"/>
                <w:color w:val="FFFFFF"/>
                <w:w w:val="80"/>
                <w:sz w:val="20"/>
              </w:rPr>
              <w:t>/</w:t>
            </w:r>
            <w:r>
              <w:rPr>
                <w:rFonts w:ascii="Arial Black"/>
                <w:color w:val="FFFFFF"/>
                <w:spacing w:val="-29"/>
                <w:w w:val="80"/>
                <w:sz w:val="20"/>
              </w:rPr>
              <w:t> </w:t>
            </w:r>
            <w:r>
              <w:rPr>
                <w:rFonts w:ascii="Arial Black"/>
                <w:color w:val="FFFFFF"/>
                <w:w w:val="80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1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follow-up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inpa- tient telehealth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RI Department of Health. Medicaid Fee Schedule Rates. (Accessed Feb.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640" w:bottom="1000" w:left="620" w:right="54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25" w:right="452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51" w:right="315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4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8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0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84" w:right="148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39" w:right="8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31" w:right="451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89" w:right="147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5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64" w:right="315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44" w:right="83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8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982" w:right="196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9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8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867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617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18" w:right="90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“Telemedicine” means the delivery of clinical health care services by means of real time two-way electronic audiovisual communications, including the application of secure video conferencing or store-and-forward technology to provide or support health care delivery, which facilitate the as- sessment,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is at an originating site and the health care provider is at a distant site, consistent with applicable federal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regulations.</w:t>
            </w:r>
            <w:r>
              <w:rPr>
                <w:color w:val="231F20"/>
                <w:spacing w:val="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 email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automated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com- puter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ocular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refractive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RI General Law, Sec. 27-81-3(12).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2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Each health insurer that issues individual or group accident-and-sickness insurance policies for health-care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cover- age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health-care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RI General Law, Sec. 27-81-4(a).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332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89" w:right="147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8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1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insurer shall not exclude a health care service for coverage solely because the 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 consultation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agreement between the insurer 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RI General Law, Sec. 27-81-4(b).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4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explicit payment parity.</w:t>
            </w:r>
          </w:p>
        </w:tc>
      </w:tr>
      <w:tr>
        <w:trPr>
          <w:trHeight w:val="2288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764" w:right="175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is defined very generally as the delivery of healthcare where there is no in-person exchange.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specifically,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 health utilizing information and communication technologies to enable the diagnosis, consulta- 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self-management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 health 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RI Department of Health. Telemedicine. (Accessed Feb. 2020).</w:t>
            </w:r>
          </w:p>
        </w:tc>
      </w:tr>
      <w:tr>
        <w:trPr>
          <w:trHeight w:val="3724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64" w:right="145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 w:right="3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patient-physician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email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other text-based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agreement should include: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Types of transmissions that will 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permitted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Circumstances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alternate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Security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measures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Hold harmless clause for information lost due to technical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failures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express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patient-identifiable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third party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7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failure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termination of the e-mail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</w:p>
          <w:p>
            <w:pPr>
              <w:pStyle w:val="TableParagraph"/>
              <w:spacing w:before="160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RI Department of Health. Telemedicine. (Accessed Feb.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 w:right="3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established in-person physician-patient relationship is required prior to prescribing controlled substances.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 coverage agreement is in place and the quantity reflects the prescription is only for a short dura- 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RI Department of Health. Telemedicine. (Accessed Feb. 2020). 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477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10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0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5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RI allows physicians who have a license in good standing in another state to consult with RI 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singular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occasion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teaching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seven days unless extended with written permission from the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director.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phy- sician-patient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RI.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RI General Law, Sec. 5-37-16.2(a)(3). (Accessed Feb. 2020).</w:t>
            </w:r>
          </w:p>
        </w:tc>
      </w:tr>
      <w:tr>
        <w:trPr>
          <w:trHeight w:val="2385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1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email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 transmission between the provider 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RI General Law, Sec. 27-81-3(12).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Guidelines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 requirements on RI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RI Department of Health. Telemedicine. (Accessed Feb. 2020).</w:t>
            </w:r>
          </w:p>
        </w:tc>
      </w:tr>
    </w:tbl>
    <w:sectPr>
      <w:pgSz w:w="12240" w:h="15840"/>
      <w:pgMar w:header="0" w:footer="809" w:top="720" w:bottom="100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15520">
          <wp:simplePos x="0" y="0"/>
          <wp:positionH relativeFrom="page">
            <wp:posOffset>457319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634796pt;margin-top:736.529297pt;width:83.4pt;height:16.45pt;mso-position-horizontal-relative:page;mso-position-vertical-relative:page;z-index:-25219993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5"/>
                    <w:sz w:val="20"/>
                  </w:rPr>
                  <w:t>RHODE</w:t>
                </w:r>
                <w:r>
                  <w:rPr>
                    <w:rFonts w:ascii="Arial Black"/>
                    <w:color w:val="BBB1AE"/>
                    <w:spacing w:val="-40"/>
                    <w:w w:val="85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5"/>
                    <w:sz w:val="20"/>
                  </w:rPr>
                  <w:t>ISLAND</w:t>
                </w:r>
                <w:r>
                  <w:rPr>
                    <w:rFonts w:ascii="Arial Black"/>
                    <w:color w:val="BBB1AE"/>
                    <w:spacing w:val="-21"/>
                    <w:w w:val="85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5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22"/>
                    <w:w w:val="85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852001pt;margin-top:741.753662pt;width:165.85pt;height:8.450pt;mso-position-horizontal-relative:page;mso-position-vertical-relative:page;z-index:-25219891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ind w:left="1277" w:right="1333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ne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2020-05-25T20:10:48Z</dcterms:created>
  <dcterms:modified xsi:type="dcterms:W3CDTF">2020-05-25T20:10:48Z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