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0"/>
        <w:ind w:left="910" w:right="953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0"/>
          <w:sz w:val="80"/>
        </w:rPr>
        <w:t>New Mexico</w:t>
      </w:r>
    </w:p>
    <w:p>
      <w:pPr>
        <w:pStyle w:val="BodyText"/>
        <w:spacing w:before="6"/>
        <w:rPr>
          <w:rFonts w:ascii="Arial Black"/>
          <w:sz w:val="20"/>
        </w:rPr>
      </w:pPr>
    </w:p>
    <w:p>
      <w:pPr>
        <w:spacing w:before="96"/>
        <w:ind w:left="910" w:right="996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New Mexico Medicaid</w:t>
      </w:r>
    </w:p>
    <w:p>
      <w:pPr>
        <w:spacing w:before="120"/>
        <w:ind w:left="909" w:right="997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New Mexico Human Services Dept., Medical Assistance Division (MAD)</w:t>
      </w:r>
    </w:p>
    <w:p>
      <w:pPr>
        <w:spacing w:before="101"/>
        <w:ind w:left="910" w:right="997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Southwest Telehealth Resource Center </w:t>
      </w:r>
      <w:hyperlink r:id="rId6">
        <w:r>
          <w:rPr>
            <w:color w:val="F47920"/>
            <w:sz w:val="22"/>
            <w:u w:val="single" w:color="F47920"/>
          </w:rPr>
          <w:t>www.southwesttrc.org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spacing w:before="126"/>
        <w:ind w:left="910"/>
      </w:pPr>
      <w:r>
        <w:rPr>
          <w:color w:val="534F4C"/>
          <w:w w:val="80"/>
        </w:rPr>
        <w:t>New Mexico Policy At-a-Glance</w:t>
      </w:r>
    </w:p>
    <w:p>
      <w:pPr>
        <w:pStyle w:val="BodyText"/>
        <w:spacing w:before="6"/>
        <w:rPr>
          <w:rFonts w:ascii="Arial Black"/>
          <w:sz w:val="6"/>
        </w:rPr>
      </w:pPr>
    </w:p>
    <w:tbl>
      <w:tblPr>
        <w:tblW w:w="0" w:type="auto"/>
        <w:jc w:val="left"/>
        <w:tblInd w:w="176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714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8" cy="113919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653" w:right="597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NLC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13"/>
        <w:rPr>
          <w:rFonts w:ascii="Arial Black"/>
          <w:sz w:val="38"/>
        </w:rPr>
      </w:pPr>
    </w:p>
    <w:p>
      <w:pPr>
        <w:spacing w:before="0" w:after="60"/>
        <w:ind w:left="903" w:right="997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0"/>
          <w:sz w:val="28"/>
        </w:rPr>
        <w:t>New Mexico Detailed Policy</w:t>
      </w: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178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770" w:right="176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0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New Mexico Medicaid reimburses for live video telehealth at the same rate as when services are 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store-and-forward.</w:t>
            </w:r>
            <w:r>
              <w:rPr>
                <w:color w:val="231F20"/>
                <w:spacing w:val="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reference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monitoring.</w:t>
            </w:r>
          </w:p>
        </w:tc>
      </w:tr>
      <w:tr>
        <w:trPr>
          <w:trHeight w:val="207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60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technol- ogies, including interactive audio, video, data communications as well as store-and-forward tech- nologies,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medical data 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Human Services Dept. Behavioral Health Policy and Billing Manual for Providers Treating Medicaid Beneficiaries (2019) p. 29 </w:t>
            </w:r>
            <w:r>
              <w:rPr>
                <w:i/>
                <w:color w:val="231F20"/>
                <w:sz w:val="13"/>
              </w:rPr>
              <w:t>(Accessed Mar. 2020).</w:t>
            </w:r>
          </w:p>
        </w:tc>
      </w:tr>
      <w:tr>
        <w:trPr>
          <w:trHeight w:val="466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854" w:right="185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854" w:right="185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32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Mexico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originating-site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distant-site at the same rate as when the services are furnished without the use of a tele- communication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8.310.2.12(M).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 is also covered by NM Managed Care.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Medical Assistance Division Managed Care Policy Manual, p. 388. Jan. 2019.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Managed Care Program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benefits package includes telemedicine services. See Admin. Code 8.308.9.18 for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requirements of MCOs related to telemedicine 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 Code Sec. 8.309.4.16 &amp; 8.308.9.18.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32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Provision of telemedicine services does not require that a certified Medicaid healthcare 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consultant at the distant site deems it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8.310.2.12 (M). (Accessed Mar.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400" w:bottom="1000" w:left="600" w:right="540"/>
          <w:pgNumType w:start="1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48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62" w:right="455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59" w:right="455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Eligible</w:t>
            </w:r>
            <w:r>
              <w:rPr>
                <w:rFonts w:ascii="Arial Black"/>
                <w:color w:val="FFFFFF"/>
                <w:spacing w:val="-21"/>
                <w:w w:val="75"/>
                <w:sz w:val="20"/>
              </w:rPr>
              <w:t> </w:t>
            </w:r>
            <w:r>
              <w:rPr>
                <w:rFonts w:ascii="Arial Black"/>
                <w:color w:val="FFFFFF"/>
                <w:w w:val="75"/>
                <w:sz w:val="20"/>
              </w:rPr>
              <w:t>Services</w:t>
            </w:r>
            <w:r>
              <w:rPr>
                <w:rFonts w:ascii="Arial Black"/>
                <w:color w:val="FFFFFF"/>
                <w:spacing w:val="-21"/>
                <w:w w:val="75"/>
                <w:sz w:val="20"/>
              </w:rPr>
              <w:t> </w:t>
            </w:r>
            <w:r>
              <w:rPr>
                <w:rFonts w:ascii="Arial Black"/>
                <w:color w:val="FFFFFF"/>
                <w:w w:val="75"/>
                <w:sz w:val="20"/>
              </w:rPr>
              <w:t>/</w:t>
            </w:r>
            <w:r>
              <w:rPr>
                <w:rFonts w:ascii="Arial Black"/>
                <w:color w:val="FFFFFF"/>
                <w:spacing w:val="-20"/>
                <w:w w:val="75"/>
                <w:sz w:val="20"/>
              </w:rPr>
              <w:t> </w:t>
            </w:r>
            <w:r>
              <w:rPr>
                <w:rFonts w:ascii="Arial Black"/>
                <w:color w:val="FFFFFF"/>
                <w:w w:val="7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6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7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68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1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School-based services provided via telemedicine are covered.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8.320.6.13(I). (Accessed Mar. 2020). 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5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video, and be delivered on a real-time basis at both the originating and distant sites. The originating site can be any medically warranted site. Coverage for services rendered through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consistent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 for health care services provided through in-person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8.310.2.12 (M). (Accessed Mar. 2020).</w:t>
            </w:r>
          </w:p>
        </w:tc>
      </w:tr>
      <w:tr>
        <w:trPr>
          <w:trHeight w:val="16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488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0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 w:right="51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 at the lesser of 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Provider’s billed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charge;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Maximum allowed by MAD for the specific service or</w:t>
            </w:r>
            <w:r>
              <w:rPr>
                <w:color w:val="231F20"/>
                <w:spacing w:val="-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2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originating-site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 was present at and participated in the telemedicine visit at the originating site and the system in use meets the definition of a telemedicine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8.310.2.12 M(4) &amp; (5).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Indian Health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Originating Site Fee: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8.310.2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NMAC are met;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5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Both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IHS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tribal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differ- 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IHS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tribal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would qualify to be an enrolled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8" w:val="left" w:leader="none"/>
              </w:tabs>
              <w:spacing w:line="240" w:lineRule="auto" w:before="0" w:after="0"/>
              <w:ind w:left="1077" w:right="381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used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 being seen at the same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facility;</w:t>
            </w:r>
          </w:p>
        </w:tc>
      </w:tr>
    </w:tbl>
    <w:p>
      <w:pPr>
        <w:spacing w:after="0" w:line="240" w:lineRule="auto"/>
        <w:jc w:val="both"/>
        <w:rPr>
          <w:sz w:val="18"/>
        </w:rPr>
        <w:sectPr>
          <w:pgSz w:w="12240" w:h="15840"/>
          <w:pgMar w:header="0" w:footer="809" w:top="660" w:bottom="1000" w:left="600" w:right="54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698" w:right="368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4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2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However,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 of telemedicine technology may be appropriate thereby allowing the service provided to meet the standards to qualify as an encounter by providing the equivalent of face-to-face contact.</w:t>
            </w:r>
          </w:p>
          <w:p>
            <w:pPr>
              <w:pStyle w:val="TableParagraph"/>
              <w:spacing w:before="160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8.310.12.12. (Accessed Mar. 2020).</w:t>
            </w:r>
          </w:p>
        </w:tc>
      </w:tr>
      <w:tr>
        <w:trPr>
          <w:trHeight w:val="249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933" w:right="392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47" w:right="93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2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MAD will reimburse for services delivered through store-and forward. </w:t>
            </w:r>
            <w:r>
              <w:rPr>
                <w:color w:val="231F20"/>
                <w:spacing w:val="-5"/>
                <w:w w:val="105"/>
                <w:sz w:val="18"/>
              </w:rPr>
              <w:t>To </w:t>
            </w:r>
            <w:r>
              <w:rPr>
                <w:color w:val="231F20"/>
                <w:w w:val="105"/>
                <w:sz w:val="18"/>
              </w:rPr>
              <w:t>be eligible for payment under store-and-forward, the service must be provided through the transference of digital images, sounds, or previously recorded video from one location to another; to allow a consulting provider to obtain information, analyze it, and report back to the refer- ring physician providing the telemedicine consultation. Store-and-forward telemedicine includes encounters that do not occur in real time (asynchronous) and are consultations 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8.310.2.12(M(3))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5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00" w:right="54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20" w:right="450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399" w:right="338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50" w:right="8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2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9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8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79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7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 Services</w:t>
            </w:r>
          </w:p>
          <w:p>
            <w:pPr>
              <w:pStyle w:val="TableParagraph"/>
              <w:ind w:left="357" w:right="43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ob- tain a medical history, and generate a medical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record.</w:t>
            </w:r>
          </w:p>
          <w:p>
            <w:pPr>
              <w:pStyle w:val="TableParagraph"/>
              <w:spacing w:before="162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Human Services Dept. Behavioral Health Policy and Billing Manual for Providers Treating Medicaid Beneficiaries (2019) p. 31 </w:t>
            </w:r>
            <w:r>
              <w:rPr>
                <w:i/>
                <w:color w:val="231F20"/>
                <w:sz w:val="13"/>
              </w:rPr>
              <w:t>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4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56" w:right="444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7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74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Mexico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outside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Mexico,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dis- tant-site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Mexico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 federal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tribal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8.310.2.12 (M). (Accessed Mar. 2020).</w:t>
            </w:r>
          </w:p>
        </w:tc>
      </w:tr>
      <w:tr>
        <w:trPr>
          <w:trHeight w:val="1103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834" w:right="482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MCOs must: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5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broad-based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statewide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Por- tability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Accountability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(HIPAA)-compliant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including, but not limited to, access to text telephones or teletype (TTYs) and 711 telecommunica- tion relay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Follow state guidelines for telemedicine equipment or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connectivity;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4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Follow accepted </w:t>
            </w:r>
            <w:r>
              <w:rPr>
                <w:color w:val="231F20"/>
                <w:spacing w:val="-3"/>
                <w:w w:val="105"/>
                <w:sz w:val="18"/>
              </w:rPr>
              <w:t>HIPAA </w:t>
            </w:r>
            <w:r>
              <w:rPr>
                <w:color w:val="231F20"/>
                <w:w w:val="105"/>
                <w:sz w:val="18"/>
              </w:rPr>
              <w:t>and 42 CFR part two regulations that affect telemedicine trans- mission,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setup,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secu- rity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lines,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etc;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MCO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implement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procedures that follow all federal and state security and procedure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guidelines;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Identify,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implement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accepted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0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Participate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organizational,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developmental,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program- matic requirements of 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70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Report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HSD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outcomes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projects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submit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telemedicine report;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6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Ensure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values,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ensuring: competent care with regard to culture and language needs; work sites are distributed across the state, including native American sites for both clinical and educational pur- poses;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coordination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functions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network connection.</w:t>
            </w:r>
          </w:p>
          <w:p>
            <w:pPr>
              <w:pStyle w:val="TableParagraph"/>
              <w:spacing w:before="3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MCO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project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extension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outcomes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(ECHO),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accordance with state prescribed requirements and standards, and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74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Work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collaboratively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HSD,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university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Mexico,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project ECHO;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Identify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high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needs,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high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project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ECHO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participation;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Identify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PCPs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high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needs,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high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project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ECHO;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4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Assist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project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ECHO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MCO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PCPs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project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ECHO’s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Medicare and Medicaid innovation (CMMI) grant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project;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project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ECHO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model;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 “intensivist”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teams;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HSD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project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ECHO;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77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Appoint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centralized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liaison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approvals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project ECHO;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pacing w:val="-3"/>
                <w:w w:val="105"/>
                <w:sz w:val="18"/>
              </w:rPr>
              <w:t>Track </w:t>
            </w:r>
            <w:r>
              <w:rPr>
                <w:color w:val="231F20"/>
                <w:w w:val="105"/>
                <w:sz w:val="18"/>
              </w:rPr>
              <w:t>quality of care and outcome measures related to project</w:t>
            </w:r>
            <w:r>
              <w:rPr>
                <w:color w:val="231F20"/>
                <w:spacing w:val="-3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ECHO.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8.308.9.18. (Accessed Mar. 2020)</w:t>
            </w:r>
          </w:p>
          <w:p>
            <w:pPr>
              <w:pStyle w:val="TableParagraph"/>
              <w:spacing w:before="1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43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There must be an established prescriber-patient relationship to prescribe drugs or medical sup- plies.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Internet,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 online questionnaire. Physicians, psychologists with prescriptive authority, physician assistants and advanced practice nurses may prescribe online during a live video exam. The prescribing clinician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must: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generate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record. A physical exam is recorded as appropriate by the telehealth practitioner but the exam may be waived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normally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Human Services Dept. Behavioral Health Policy and Billing Manual for Providers Treating Medicaid Beneficiaries (2019) p. 31 </w:t>
            </w:r>
            <w:r>
              <w:rPr>
                <w:i/>
                <w:color w:val="231F20"/>
                <w:sz w:val="13"/>
              </w:rPr>
              <w:t>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4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492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432" w:right="343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3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 health care from a distance. “Telemedicine” allows health care professionals to evaluate, diagnose 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 time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asynchronously,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simultaneous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 forward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along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information.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expertise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 travel.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Statute. 59A-22-49.3(H(6)) (Accessed Mar. 2020).</w:t>
            </w:r>
          </w:p>
        </w:tc>
      </w:tr>
      <w:tr>
        <w:trPr>
          <w:trHeight w:val="314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0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3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insurer shall provide coverage for services delivered via telemedicine to the same extent that 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in-person.</w:t>
            </w:r>
            <w:r>
              <w:rPr>
                <w:color w:val="231F20"/>
                <w:spacing w:val="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impose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unique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49" w:right="40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 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appeal.</w:t>
            </w:r>
            <w:r>
              <w:rPr>
                <w:color w:val="231F20"/>
                <w:spacing w:val="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 the originating site unless the consulting provider deems it necessary. Insurers cannot impose an originating-site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restriction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distinguish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rural and urban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 services shall be encrypted and conform to state and federal privacy laws.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Statutes Annotated. Sec. 59A-22-49.3. (Accessed Mar. 2020).</w:t>
            </w:r>
          </w:p>
        </w:tc>
      </w:tr>
      <w:tr>
        <w:trPr>
          <w:trHeight w:val="206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64" w:right="146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6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32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extent that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insurer shall reimburse for health care services delivered via telemedicine on the same basis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comparable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deliv- ered via in-person consultation 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Statutes Annotated. Sec. 59A-22-49.3(A) &amp; (I). (Accessed Mar. 2020).</w:t>
            </w:r>
          </w:p>
        </w:tc>
      </w:tr>
      <w:tr>
        <w:trPr>
          <w:trHeight w:val="141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insurer shall reimburse for health care services delivered via telemedicine on the same basis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comparable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deliv- ered via in-person consultation 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Statutes Annotated. Sec. 59A-22-49.3(I). (Accessed Mar. 2020).</w:t>
            </w:r>
          </w:p>
        </w:tc>
      </w:tr>
      <w:tr>
        <w:trPr>
          <w:trHeight w:val="3198" w:hRule="atLeast"/>
        </w:trPr>
        <w:tc>
          <w:tcPr>
            <w:tcW w:w="1080" w:type="dxa"/>
            <w:shd w:val="clear" w:color="auto" w:fill="4D90CD"/>
            <w:textDirection w:val="btLr"/>
          </w:tcPr>
          <w:p>
            <w:pPr>
              <w:pStyle w:val="TableParagraph"/>
              <w:spacing w:line="204" w:lineRule="auto" w:before="293"/>
              <w:ind w:left="754" w:hanging="462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75"/>
                <w:sz w:val="26"/>
              </w:rPr>
              <w:t>Professional Regulation/ </w:t>
            </w:r>
            <w:r>
              <w:rPr>
                <w:rFonts w:ascii="Arial Black"/>
                <w:color w:val="FFFFFF"/>
                <w:w w:val="85"/>
                <w:sz w:val="26"/>
              </w:rPr>
              <w:t>Health &amp;</w:t>
            </w:r>
            <w:r>
              <w:rPr>
                <w:rFonts w:ascii="Arial Black"/>
                <w:color w:val="FFFFFF"/>
                <w:spacing w:val="-61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8" w:right="107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2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 means the use of electronic information, imaging and communication technologies, in- cluding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well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technologies, to provide and support health care delivery, diagnosis, consultation, treatment, transfer of medical data 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Statutes Annotated Sec. 24-1G-3.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Speech-Language Pathology, Audiology and Hearing Aid Dispensing Practices Board</w:t>
            </w:r>
          </w:p>
          <w:p>
            <w:pPr>
              <w:pStyle w:val="TableParagraph"/>
              <w:ind w:left="249" w:right="32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exchange 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speech-language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hearing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dispensing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hardwire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internet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connec- tion.</w:t>
            </w:r>
          </w:p>
          <w:p>
            <w:pPr>
              <w:pStyle w:val="TableParagraph"/>
              <w:spacing w:before="152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16.26.1.7(AA).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600" w:right="54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88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12" w:right="450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9"/>
              <w:rPr>
                <w:rFonts w:ascii="Arial Black"/>
                <w:sz w:val="21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Osteopathic Medicine</w:t>
            </w:r>
          </w:p>
          <w:p>
            <w:pPr>
              <w:pStyle w:val="TableParagraph"/>
              <w:ind w:left="249" w:right="2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across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lines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communications, 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osteopathic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out-of-state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patient in New Mexico. Telemedicine involves the application of secure videoconferencing or store- and-forward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replicating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traditional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interac- tion of the in-person encounters between a provider and a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16.17.1.7(T). (Accessed Mar. 2020).</w:t>
            </w:r>
          </w:p>
        </w:tc>
      </w:tr>
      <w:tr>
        <w:trPr>
          <w:trHeight w:val="1828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8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Hearing, Speech and Audiology Practitioners</w:t>
            </w:r>
          </w:p>
          <w:p>
            <w:pPr>
              <w:pStyle w:val="TableParagraph"/>
              <w:ind w:left="249" w:right="3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licensed audiologist, speech-language pathologist or hearing aid dispenser using telecommuni- 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guardian,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caregiver 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multi-disciplinary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team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right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services,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options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instruction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filing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resolving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complaints.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16.26.2.20(G). (Accessed Mar. 2020).</w:t>
            </w:r>
          </w:p>
        </w:tc>
      </w:tr>
      <w:tr>
        <w:trPr>
          <w:trHeight w:val="5501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881" w:right="187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Prescribing,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dispensing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administering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supplies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es- tablished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internet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 means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on-line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questionnaire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unprofessional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responsible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anoth-</w:t>
            </w:r>
          </w:p>
          <w:p>
            <w:pPr>
              <w:pStyle w:val="TableParagraph"/>
              <w:ind w:left="969" w:right="43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locum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tenens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 a physician-patient relationship has previously been established and documented in the practitioner’s or </w:t>
            </w:r>
            <w:r>
              <w:rPr>
                <w:color w:val="231F20"/>
                <w:spacing w:val="-3"/>
                <w:w w:val="105"/>
                <w:sz w:val="18"/>
              </w:rPr>
              <w:t>clinic’s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room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urgent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Prescriptions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written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prepare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examination(s)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laboratory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testing;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Prescribing or dispensing for immunization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27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partners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sexually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 this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expedited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partner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guidelines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protocol published by the New Mexico department of health;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24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recommendation,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encounter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online,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videoconferencing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informed consent are obtained and a medical record generated by the practitioner, and a physical examination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329" w:val="left" w:leader="none"/>
                <w:tab w:pos="1330" w:val="left" w:leader="none"/>
              </w:tabs>
              <w:spacing w:line="240" w:lineRule="auto" w:before="0" w:after="0"/>
              <w:ind w:left="1329" w:right="36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Recorded as appropriate by the practitioner, or a practitioner such as a physician, a physician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anesthesiologist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advanced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results communicated to the telehealth practitioner;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329" w:val="left" w:leader="none"/>
                <w:tab w:pos="1330" w:val="left" w:leader="none"/>
              </w:tabs>
              <w:spacing w:line="240" w:lineRule="auto" w:before="0" w:after="0"/>
              <w:ind w:left="132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Waived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normally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typical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</w:p>
          <w:p>
            <w:pPr>
              <w:pStyle w:val="TableParagraph"/>
              <w:ind w:left="132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face-to-face encounter with the patient for the specific services being provided.</w:t>
            </w:r>
          </w:p>
          <w:p>
            <w:pPr>
              <w:pStyle w:val="TableParagraph"/>
              <w:spacing w:before="9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16.10.8.8(L). (Accessed Mar. 2020).</w:t>
            </w:r>
          </w:p>
        </w:tc>
      </w:tr>
      <w:tr>
        <w:trPr>
          <w:trHeight w:val="4113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17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Medicine and Surgery</w:t>
            </w:r>
          </w:p>
          <w:p>
            <w:pPr>
              <w:pStyle w:val="TableParagraph"/>
              <w:ind w:left="249" w:right="21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across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lines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written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document- 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opinion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concerning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lo- cated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outside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telephonic or other means from within this state, to the physician or the physician’s agent, OR the rendering of treatment to a patient within this state, by a physician located outside this state, as a result of trans- mission of individual patient data by electronic, telephonic or other means from within this state to the physician or the physician’s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agent.”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Statutes Annotated. Sec. 61-6-6(L) (2012).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NM issues telemedicine licenses to providers who hold a full, unrestricted license in another state.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Statutes Annotated, 1978 Sec. 61-6-11.1.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Nurse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Nurse Licensure Compact. Current NLC States and Status. NCSBN.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660" w:bottom="1000" w:left="600" w:right="540"/>
        </w:sectPr>
      </w:pPr>
    </w:p>
    <w:tbl>
      <w:tblPr>
        <w:tblW w:w="0" w:type="auto"/>
        <w:jc w:val="left"/>
        <w:tblInd w:w="16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3367" w:hRule="atLeast"/>
        </w:trPr>
        <w:tc>
          <w:tcPr>
            <w:tcW w:w="1080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line="204" w:lineRule="auto" w:before="293"/>
              <w:ind w:left="839" w:hanging="462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75"/>
                <w:sz w:val="26"/>
              </w:rPr>
              <w:t>Professional Regulation/ </w:t>
            </w:r>
            <w:r>
              <w:rPr>
                <w:rFonts w:ascii="Arial Black"/>
                <w:color w:val="FFFFFF"/>
                <w:w w:val="85"/>
                <w:sz w:val="26"/>
              </w:rPr>
              <w:t>Health &amp;</w:t>
            </w:r>
            <w:r>
              <w:rPr>
                <w:rFonts w:ascii="Arial Black"/>
                <w:color w:val="FFFFFF"/>
                <w:spacing w:val="-61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10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Professional regulation with telehealth specific standards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1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Language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Pathology,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&amp;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Hearing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Aid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Dispensing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69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audiologist,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speech-language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pathologist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dispenser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client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although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communication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supplement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 of telecommunication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NM Administrative Code 16.26.2.20.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38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New Mexico is also the home of Project </w:t>
            </w:r>
            <w:r>
              <w:rPr>
                <w:color w:val="231F20"/>
                <w:spacing w:val="-3"/>
                <w:w w:val="105"/>
                <w:sz w:val="18"/>
              </w:rPr>
              <w:t>ECHO. </w:t>
            </w:r>
            <w:r>
              <w:rPr>
                <w:color w:val="231F20"/>
                <w:w w:val="105"/>
                <w:sz w:val="18"/>
              </w:rPr>
              <w:t>The project’s mission is to develop the capacity to safely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effectively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chronic,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complex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rural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underserved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areas, and to monitor outcomes of this treatment utilizing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</w:tc>
      </w:tr>
    </w:tbl>
    <w:sectPr>
      <w:pgSz w:w="12240" w:h="15840"/>
      <w:pgMar w:header="0" w:footer="809" w:top="720" w:bottom="1000" w:left="6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Roboto">
    <w:altName w:val="Roboto"/>
    <w:charset w:val="0"/>
    <w:family w:val="auto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87520">
          <wp:simplePos x="0" y="0"/>
          <wp:positionH relativeFrom="page">
            <wp:posOffset>458081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7.818787pt;margin-top:736.529297pt;width:71.25pt;height:16.45pt;mso-position-horizontal-relative:page;mso-position-vertical-relative:page;z-index:-252327936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NEW</w:t>
                </w:r>
                <w:r>
                  <w:rPr>
                    <w:rFonts w:ascii="Arial Black"/>
                    <w:color w:val="BBB1AE"/>
                    <w:spacing w:val="-22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MEXICO</w:t>
                </w:r>
                <w:r>
                  <w:rPr>
                    <w:rFonts w:ascii="Arial Black"/>
                    <w:color w:val="BBB1AE"/>
                    <w:spacing w:val="-22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22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911999pt;margin-top:741.753662pt;width:165.85pt;height:8.450pt;mso-position-horizontal-relative:page;mso-position-vertical-relative:page;z-index:-25232691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32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15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55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ind w:left="903" w:right="990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outhwest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2020-05-25T20:09:50Z</dcterms:created>
  <dcterms:modified xsi:type="dcterms:W3CDTF">2020-05-25T20:09:50Z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