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1219" w:right="1203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North</w:t>
      </w:r>
      <w:r>
        <w:rPr>
          <w:rFonts w:ascii="Arial Black"/>
          <w:color w:val="F47920"/>
          <w:spacing w:val="-61"/>
          <w:w w:val="85"/>
          <w:sz w:val="80"/>
        </w:rPr>
        <w:t> </w:t>
      </w:r>
      <w:r>
        <w:rPr>
          <w:rFonts w:ascii="Arial Black"/>
          <w:color w:val="F47920"/>
          <w:w w:val="85"/>
          <w:sz w:val="80"/>
        </w:rPr>
        <w:t>Carolina</w:t>
      </w:r>
    </w:p>
    <w:p>
      <w:pPr>
        <w:pStyle w:val="BodyText"/>
        <w:spacing w:before="11"/>
        <w:rPr>
          <w:rFonts w:ascii="Arial Black"/>
        </w:rPr>
      </w:pPr>
    </w:p>
    <w:p>
      <w:pPr>
        <w:spacing w:before="95"/>
        <w:ind w:left="1219" w:right="1285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North Carolina Medicaid</w:t>
      </w:r>
    </w:p>
    <w:p>
      <w:pPr>
        <w:spacing w:before="120"/>
        <w:ind w:left="1218" w:right="1285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Dept. of Health and Human Services, Division of Medical Assistance</w:t>
      </w:r>
    </w:p>
    <w:p>
      <w:pPr>
        <w:spacing w:before="101"/>
        <w:ind w:left="1219" w:right="1285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Mid-Atlantic Telehealth Resource Center </w:t>
      </w:r>
      <w:hyperlink r:id="rId6">
        <w:r>
          <w:rPr>
            <w:color w:val="F47920"/>
            <w:sz w:val="22"/>
            <w:u w:val="single" w:color="F47920"/>
          </w:rPr>
          <w:t>www.matrc.org</w:t>
        </w:r>
      </w:hyperlink>
    </w:p>
    <w:p>
      <w:pPr>
        <w:pStyle w:val="BodyText"/>
        <w:rPr>
          <w:sz w:val="20"/>
        </w:rPr>
      </w:pPr>
    </w:p>
    <w:p>
      <w:pPr>
        <w:pStyle w:val="Heading1"/>
        <w:spacing w:before="280"/>
        <w:ind w:left="4083"/>
      </w:pPr>
      <w:r>
        <w:rPr>
          <w:color w:val="534F4C"/>
          <w:w w:val="80"/>
        </w:rPr>
        <w:t>North Carolina At-a-Glance</w:t>
      </w:r>
    </w:p>
    <w:tbl>
      <w:tblPr>
        <w:tblW w:w="0" w:type="auto"/>
        <w:jc w:val="left"/>
        <w:tblInd w:w="200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539"/>
              <w:rPr>
                <w:sz w:val="12"/>
              </w:rPr>
            </w:pPr>
            <w:r>
              <w:rPr>
                <w:color w:val="231F20"/>
                <w:sz w:val="12"/>
              </w:rPr>
              <w:t>PTC, NLC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1"/>
        <w:rPr>
          <w:rFonts w:ascii="Arial Black"/>
          <w:sz w:val="41"/>
        </w:rPr>
      </w:pPr>
    </w:p>
    <w:p>
      <w:pPr>
        <w:spacing w:before="0" w:after="45"/>
        <w:ind w:left="3934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North Carolina Detailed Policy</w:t>
      </w:r>
    </w:p>
    <w:tbl>
      <w:tblPr>
        <w:tblW w:w="0" w:type="auto"/>
        <w:jc w:val="left"/>
        <w:tblInd w:w="15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25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985" w:right="198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3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39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tele-psychiatry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 certain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met.</w:t>
            </w:r>
            <w:r>
              <w:rPr>
                <w:color w:val="231F20"/>
                <w:spacing w:val="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make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 reference to remote 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monitoring.</w:t>
            </w:r>
          </w:p>
        </w:tc>
      </w:tr>
      <w:tr>
        <w:trPr>
          <w:trHeight w:val="178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2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 is the use of two-way real-time interactive audio and video between places of lesser and greater medical capability or expertise to provide and support health care when distance sepa- rates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locations.</w:t>
            </w:r>
            <w:r>
              <w:rPr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er to receive the services of another provider via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1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Medicaid and Health Choice Manual, Clinical Coverage Policy No: 1H, Telemedicine and Telepsychia- </w:t>
            </w:r>
            <w:r>
              <w:rPr>
                <w:i/>
                <w:color w:val="231F20"/>
                <w:sz w:val="13"/>
              </w:rPr>
              <w:t>try, p. 1, Dec. 31, 2019.(Accessed Mar. 2020).</w:t>
            </w:r>
          </w:p>
        </w:tc>
      </w:tr>
      <w:tr>
        <w:trPr>
          <w:trHeight w:val="531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177" w:right="217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177" w:right="217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Choice Program. Provider(s) shall verify each Medicaid or NCHC beneficiary’s eligibility each time a 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rendered.</w:t>
            </w:r>
            <w:r>
              <w:rPr>
                <w:color w:val="231F20"/>
                <w:spacing w:val="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restrictions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eligi- bility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category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make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ineligible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  <w:r>
              <w:rPr>
                <w:color w:val="231F20"/>
                <w:spacing w:val="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example,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the NC Health Choice Program, a beneficiary must be between 6 and 18 years old, although there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falls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Early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Periodic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Screening,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Treatment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(EPSDT)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beneficiaries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21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years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age.</w:t>
            </w:r>
            <w:r>
              <w:rPr>
                <w:color w:val="231F20"/>
                <w:spacing w:val="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manu- al for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details.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24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Medicaid and Health Choice Manual, Clinical Coverage Policy No: 1H, Telemedicine and </w:t>
            </w:r>
            <w:r>
              <w:rPr>
                <w:i/>
                <w:color w:val="231F20"/>
                <w:sz w:val="13"/>
              </w:rPr>
              <w:t>Telepsychiatry, p. 1, Dec. 31, 2019.(Accessed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49" w:right="334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North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Carolina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Choice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and tele-psychiatry services. All of the following conditions must be</w:t>
            </w:r>
            <w:r>
              <w:rPr>
                <w:color w:val="231F20"/>
                <w:spacing w:val="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70" w:val="left" w:leader="none"/>
              </w:tabs>
              <w:spacing w:line="240" w:lineRule="auto" w:before="0" w:after="0"/>
              <w:ind w:left="969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beneficiary must be present at the time of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70" w:val="left" w:leader="none"/>
              </w:tabs>
              <w:spacing w:line="240" w:lineRule="auto" w:before="0" w:after="0"/>
              <w:ind w:left="969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70" w:val="left" w:leader="none"/>
              </w:tabs>
              <w:spacing w:line="240" w:lineRule="auto" w:before="0" w:after="0"/>
              <w:ind w:left="969" w:right="400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 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readily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 to such specialty services;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70" w:val="left" w:leader="none"/>
              </w:tabs>
              <w:spacing w:line="240" w:lineRule="auto" w:before="0" w:after="0"/>
              <w:ind w:left="969" w:right="463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take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 telecommunications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system.</w:t>
            </w:r>
          </w:p>
          <w:p>
            <w:pPr>
              <w:pStyle w:val="TableParagraph"/>
              <w:spacing w:before="160"/>
              <w:ind w:left="609" w:right="24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Medicaid and Health Choice Manual, Clinical Coverage Policy No: 1H, Telemedicine and </w:t>
            </w:r>
            <w:r>
              <w:rPr>
                <w:i/>
                <w:color w:val="231F20"/>
                <w:sz w:val="13"/>
              </w:rPr>
              <w:t>Telepsychiatry, p. 4, Dec. 31, 2019 (Accessed Mar.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400" w:bottom="1000" w:left="580" w:right="540"/>
          <w:pgNumType w:start="1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3680" w:hRule="atLeast"/>
        </w:trPr>
        <w:tc>
          <w:tcPr>
            <w:tcW w:w="1080" w:type="dxa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05" w:right="460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02" w:right="460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603" w:right="460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NCHC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products,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 when they are medically necessary,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8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procedure, product, or service is individualized, specific, and consistent with symptoms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confirmed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illness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injury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in excess of the beneficiary’s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3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product,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safely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furnished,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effec- tive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conservative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less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statewide;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product,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furnished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primarily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intended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 the convenience of the beneficiary, the beneficiary’s caretaker, or the provider.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NOT Covered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beneficiary does not meet the eligibility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beneficiary does not meet the criteria listed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above;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7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product,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duplicates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prod- uct, or service;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70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product,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experimental,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investigational,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clinical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trial.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Additional Criteria not covered under NC Health Choice</w:t>
            </w:r>
          </w:p>
          <w:p>
            <w:pPr>
              <w:pStyle w:val="TableParagraph"/>
              <w:ind w:left="357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Except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eligibility,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deductibles,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copayments,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 sharing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charges,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children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 shall be equivalent to coverage provided for dependents under North Carolina Medicaid Program except for 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services for long-term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nonemergency medical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transportation.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spacing w:val="-5"/>
                <w:w w:val="105"/>
                <w:sz w:val="18"/>
              </w:rPr>
              <w:t>EPSDT.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4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restricted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 adopted by the Department to implement this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subsection.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 w:right="45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 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tele-psychiatry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 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Human Services Utilization Review Contractor 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8" w:val="left" w:leader="none"/>
              </w:tabs>
              <w:spacing w:line="240" w:lineRule="auto" w:before="0" w:after="0"/>
              <w:ind w:left="1077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Prior approval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8" w:val="left" w:leader="none"/>
              </w:tabs>
              <w:spacing w:line="240" w:lineRule="auto" w:before="0" w:after="0"/>
              <w:ind w:left="1077" w:right="378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 the specific criteria for 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Special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Early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Periodic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Screening,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 (EPSDT) program. See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beneficiary cannot be confined to a jail, detention center or prison.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6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Medicaid and Health Choice Manual, Clinical Coverage Policy No: 1H, Telemedicine </w:t>
            </w:r>
            <w:r>
              <w:rPr>
                <w:i/>
                <w:color w:val="231F20"/>
                <w:sz w:val="13"/>
              </w:rPr>
              <w:t>and Telepsychiatry, p. 1-7, Dec. 31, 2019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See Attachment A of manual for billable codes.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64"/>
              <w:rPr>
                <w:sz w:val="18"/>
              </w:rPr>
            </w:pPr>
            <w:r>
              <w:rPr>
                <w:color w:val="231F20"/>
                <w:sz w:val="18"/>
              </w:rPr>
              <w:t>When the GT modifier is appended to a code billed for professional services, the service is paid at 100% of the allowed amount of the fee schedule.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41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For hospitals, this is a covered service for both inpatient and outpatient and is part of the normal hospital reimbursement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methodology.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73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Reimbursement for these services is subject to the same restrictions as</w:t>
            </w:r>
            <w:r>
              <w:rPr>
                <w:color w:val="231F20"/>
                <w:spacing w:val="-26"/>
                <w:sz w:val="18"/>
              </w:rPr>
              <w:t> </w:t>
            </w:r>
            <w:r>
              <w:rPr>
                <w:color w:val="231F20"/>
                <w:sz w:val="18"/>
              </w:rPr>
              <w:t>face-to-face contacts (such as; place of service, allowable providers, multiple service limitations, prior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authorization).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6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</w:t>
            </w:r>
            <w:r>
              <w:rPr>
                <w:b/>
                <w:color w:val="F47920"/>
                <w:spacing w:val="-4"/>
                <w:sz w:val="14"/>
              </w:rPr>
              <w:t> </w:t>
            </w:r>
            <w:r>
              <w:rPr>
                <w:i/>
                <w:color w:val="231F20"/>
                <w:sz w:val="13"/>
              </w:rPr>
              <w:t>NC</w:t>
            </w:r>
            <w:r>
              <w:rPr>
                <w:i/>
                <w:color w:val="231F20"/>
                <w:spacing w:val="-4"/>
                <w:sz w:val="13"/>
              </w:rPr>
              <w:t> </w:t>
            </w:r>
            <w:r>
              <w:rPr>
                <w:i/>
                <w:color w:val="231F20"/>
                <w:spacing w:val="-3"/>
                <w:sz w:val="13"/>
              </w:rPr>
              <w:t>Div. </w:t>
            </w:r>
            <w:r>
              <w:rPr>
                <w:i/>
                <w:color w:val="231F20"/>
                <w:sz w:val="13"/>
              </w:rPr>
              <w:t>of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Medical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Assistance,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Medicaid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and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Health</w:t>
            </w:r>
            <w:r>
              <w:rPr>
                <w:i/>
                <w:color w:val="231F20"/>
                <w:spacing w:val="-4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Choice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Manual,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Clinical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Coverage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Policy</w:t>
            </w:r>
            <w:r>
              <w:rPr>
                <w:i/>
                <w:color w:val="231F20"/>
                <w:spacing w:val="-4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No: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1H,</w:t>
            </w:r>
            <w:r>
              <w:rPr>
                <w:i/>
                <w:color w:val="231F20"/>
                <w:spacing w:val="-6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Telemedicine </w:t>
            </w:r>
            <w:r>
              <w:rPr>
                <w:i/>
                <w:color w:val="231F20"/>
                <w:sz w:val="13"/>
              </w:rPr>
              <w:t>and Telepsychiatry, p. 14, Dec. 31, 2019 (Accessed </w:t>
            </w:r>
            <w:r>
              <w:rPr>
                <w:i/>
                <w:color w:val="231F20"/>
                <w:spacing w:val="-3"/>
                <w:sz w:val="13"/>
              </w:rPr>
              <w:t>Mar.</w:t>
            </w:r>
            <w:r>
              <w:rPr>
                <w:i/>
                <w:color w:val="231F20"/>
                <w:spacing w:val="-10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Teledentistry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Synchronous real-time dentistry is covered through D9995.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Medcial Assistance. Medicaid Bulletin. p. 22, Jan. 2018. (Accessed Mar. 2020)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680" w:bottom="1000" w:left="580" w:right="54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735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789" w:right="377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786" w:right="377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851" w:right="28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42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products,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 shall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Meet Medicaid or NCHC qualifications for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participation;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 currently Medicaid or NCHC enrolled;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5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products,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 clinical practice, as defined by the appropriate licensing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medical providers: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midwives;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Physician’s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tele-psychiatry providers: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Advanced practice psychiatric nurse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Advanced practice psychiatric clinical nurse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psychologists Ph.D.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level;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clinical social workers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(LCSW);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diagnostic assessment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agencies.</w:t>
            </w:r>
          </w:p>
          <w:p>
            <w:pPr>
              <w:pStyle w:val="TableParagraph"/>
              <w:spacing w:before="168"/>
              <w:ind w:left="357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licensed provider using Telemedicine or Telepsychiatry Services shall ensure the availability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follow-up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maintain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available to the beneficiary and other treating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three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identifiable telemedicine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telepsychiatry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6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Medicaid and Health Choice Manual, Clinical Coverage Policy No: 1H, Telemedicine </w:t>
            </w:r>
            <w:r>
              <w:rPr>
                <w:i/>
                <w:color w:val="231F20"/>
                <w:sz w:val="13"/>
              </w:rPr>
              <w:t>and Telepsychiatry, p. 4 &amp; 6, Dec. 31, 2019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2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5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 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readily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 specialty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services.”</w:t>
            </w:r>
          </w:p>
          <w:p>
            <w:pPr>
              <w:pStyle w:val="TableParagraph"/>
              <w:spacing w:before="159"/>
              <w:ind w:left="717" w:right="36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Medicaid and Health Choice Manual, Clinical Coverage Policy No: 1H, Telemedicine </w:t>
            </w:r>
            <w:r>
              <w:rPr>
                <w:i/>
                <w:color w:val="231F20"/>
                <w:sz w:val="13"/>
              </w:rPr>
              <w:t>and Telepsychiatry, p. 4, Dec. 31, 2019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4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6108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36" w:right="432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919" w:right="190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920" w:right="190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Only one facility fee is allowed per date of service “per beneficiary.”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date 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 Health records must document that ALL the components of the service being billed were provided to 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Originating-site provider facility fees paid 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midwives;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Advanced practice psychiatric nurse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Advanced practice psychiatric clinical nurse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psychologists (Ph.D.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level);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clinical social workers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(LCSW);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Physician’s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(inpatient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Local 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Local Management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Entities.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facility fees for distant-site providers.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6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Medicaid and Health Choice Manual, Clinical Coverage Policy No: 1H, Telemedicine </w:t>
            </w:r>
            <w:r>
              <w:rPr>
                <w:i/>
                <w:color w:val="231F20"/>
                <w:sz w:val="13"/>
              </w:rPr>
              <w:t>and Telepsychiatry, p. 4, 6-7, Dec. 31, 2019 (Accessed Mar. 2020). 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665" w:right="265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50" w:right="8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North Carolina Medicaid will not reimburse for Store-and-forward.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6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Medicaid and Health Choice Manual, Clinical Coverage Policy No: 1H, Telemedicine </w:t>
            </w:r>
            <w:r>
              <w:rPr>
                <w:i/>
                <w:color w:val="231F20"/>
                <w:sz w:val="13"/>
              </w:rPr>
              <w:t>and Telepsychiatry, p. 4-5, Dec. 31, 2019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80" w:right="54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82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13" w:right="439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8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1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39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961" w:right="294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6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8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79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5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92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8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email.</w:t>
            </w:r>
          </w:p>
          <w:p>
            <w:pPr>
              <w:pStyle w:val="TableParagraph"/>
              <w:ind w:left="357" w:right="54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telephone. No reimbursement FAX.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video cell phone interaction.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6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Medicaid and Health Choice Manual, Clinical Coverage Policy No: 1H, Telemedicine and Telepsy- </w:t>
            </w:r>
            <w:r>
              <w:rPr>
                <w:i/>
                <w:color w:val="231F20"/>
                <w:sz w:val="13"/>
              </w:rPr>
              <w:t>chiatry, p. 4-5, Dec. 31, 2019 (Accessed Mar.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Telephonic E/M services for influenza is covered for Feb. 1, 2020 to April 20, 2020.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6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Medicaid and Health Choice Manual, Bulletin, Telephonic Evaluation and Management for Influen- </w:t>
            </w:r>
            <w:r>
              <w:rPr>
                <w:i/>
                <w:color w:val="231F20"/>
                <w:sz w:val="13"/>
              </w:rPr>
              <w:t>za, Jan. 28, 2020,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4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179" w:hRule="atLeast"/>
        </w:trPr>
        <w:tc>
          <w:tcPr>
            <w:tcW w:w="1080" w:type="dxa"/>
            <w:shd w:val="clear" w:color="auto" w:fill="F4792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5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115" w:hRule="atLeast"/>
        </w:trPr>
        <w:tc>
          <w:tcPr>
            <w:tcW w:w="1080" w:type="dxa"/>
            <w:shd w:val="clear" w:color="auto" w:fill="F4792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Out of State Providers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3677" w:hRule="atLeast"/>
        </w:trPr>
        <w:tc>
          <w:tcPr>
            <w:tcW w:w="1080" w:type="dxa"/>
            <w:shd w:val="clear" w:color="auto" w:fill="F4792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152" w:right="115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646"/>
              <w:jc w:val="both"/>
              <w:rPr>
                <w:sz w:val="18"/>
              </w:rPr>
            </w:pPr>
            <w:r>
              <w:rPr>
                <w:color w:val="020302"/>
                <w:w w:val="105"/>
                <w:sz w:val="18"/>
              </w:rPr>
              <w:t>The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Office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of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Rural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Health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and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Community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Care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shall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oversee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and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monitor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the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establishment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of a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statewide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telepsychiatry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program.Must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be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enrolled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in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the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NC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Medicaid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program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or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NC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Health Choice.</w:t>
            </w:r>
          </w:p>
          <w:p>
            <w:pPr>
              <w:pStyle w:val="TableParagraph"/>
              <w:spacing w:before="6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General Statutes Article 3, Ch. 143B, Sect. 12A.2B. (b).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020302"/>
                <w:w w:val="105"/>
                <w:sz w:val="18"/>
              </w:rPr>
              <w:t>Providers must comply with the following in effect at the time the service was rendered: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8" w:val="left" w:leader="none"/>
              </w:tabs>
              <w:spacing w:line="240" w:lineRule="auto" w:before="0" w:after="0"/>
              <w:ind w:left="1077" w:right="529" w:hanging="360"/>
              <w:jc w:val="both"/>
              <w:rPr>
                <w:sz w:val="18"/>
              </w:rPr>
            </w:pPr>
            <w:r>
              <w:rPr>
                <w:color w:val="020302"/>
                <w:w w:val="105"/>
                <w:sz w:val="18"/>
              </w:rPr>
              <w:t>All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applicable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agreements,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federal,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state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and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local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laws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and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regulations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including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spacing w:val="-3"/>
                <w:w w:val="105"/>
                <w:sz w:val="18"/>
              </w:rPr>
              <w:t>HIPAA </w:t>
            </w:r>
            <w:r>
              <w:rPr>
                <w:color w:val="020302"/>
                <w:w w:val="105"/>
                <w:sz w:val="18"/>
              </w:rPr>
              <w:t>and medical retention</w:t>
            </w:r>
            <w:r>
              <w:rPr>
                <w:color w:val="020302"/>
                <w:spacing w:val="-6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requirements.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8" w:val="left" w:leader="none"/>
              </w:tabs>
              <w:spacing w:line="240" w:lineRule="auto" w:before="0" w:after="0"/>
              <w:ind w:left="1077" w:right="474" w:hanging="360"/>
              <w:jc w:val="both"/>
              <w:rPr>
                <w:sz w:val="18"/>
              </w:rPr>
            </w:pPr>
            <w:r>
              <w:rPr>
                <w:color w:val="020302"/>
                <w:w w:val="105"/>
                <w:sz w:val="18"/>
              </w:rPr>
              <w:t>All</w:t>
            </w:r>
            <w:r>
              <w:rPr>
                <w:color w:val="020302"/>
                <w:spacing w:val="-19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Medicaid’s</w:t>
            </w:r>
            <w:r>
              <w:rPr>
                <w:color w:val="020302"/>
                <w:spacing w:val="-19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clinical</w:t>
            </w:r>
            <w:r>
              <w:rPr>
                <w:color w:val="020302"/>
                <w:spacing w:val="-19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(medical)</w:t>
            </w:r>
            <w:r>
              <w:rPr>
                <w:color w:val="020302"/>
                <w:spacing w:val="-19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coverage</w:t>
            </w:r>
            <w:r>
              <w:rPr>
                <w:color w:val="020302"/>
                <w:spacing w:val="-19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policies,</w:t>
            </w:r>
            <w:r>
              <w:rPr>
                <w:color w:val="020302"/>
                <w:spacing w:val="-19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guidelines,</w:t>
            </w:r>
            <w:r>
              <w:rPr>
                <w:color w:val="020302"/>
                <w:spacing w:val="-19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policies,</w:t>
            </w:r>
            <w:r>
              <w:rPr>
                <w:color w:val="020302"/>
                <w:spacing w:val="-19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provider</w:t>
            </w:r>
            <w:r>
              <w:rPr>
                <w:color w:val="020302"/>
                <w:spacing w:val="-19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manuals, implementation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updates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and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bulletins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published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by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CMS,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DHHS,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its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divisions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or</w:t>
            </w:r>
            <w:r>
              <w:rPr>
                <w:color w:val="020302"/>
                <w:spacing w:val="-11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its</w:t>
            </w:r>
            <w:r>
              <w:rPr>
                <w:color w:val="020302"/>
                <w:spacing w:val="-12"/>
                <w:w w:val="105"/>
                <w:sz w:val="18"/>
              </w:rPr>
              <w:t> </w:t>
            </w:r>
            <w:r>
              <w:rPr>
                <w:color w:val="020302"/>
                <w:w w:val="105"/>
                <w:sz w:val="18"/>
              </w:rPr>
              <w:t>fiscal contractor(s).</w:t>
            </w:r>
          </w:p>
          <w:p>
            <w:pPr>
              <w:pStyle w:val="TableParagraph"/>
              <w:spacing w:before="6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717" w:right="26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Medicaid and Health Choice Manual, Clinical Coverage Policy No: 1H, Telemedicine and Telepsy- </w:t>
            </w:r>
            <w:r>
              <w:rPr>
                <w:i/>
                <w:color w:val="231F20"/>
                <w:sz w:val="13"/>
              </w:rPr>
              <w:t>chiatry, p. 7, Dec. 31, 2019 (Accessed Mar. 2020).</w:t>
            </w:r>
          </w:p>
        </w:tc>
      </w:tr>
      <w:tr>
        <w:trPr>
          <w:trHeight w:val="1395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030" w:right="203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6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sz w:val="18"/>
              </w:rPr>
              <w:t>No reference found.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7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683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339" w:right="13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7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None.</w:t>
            </w:r>
          </w:p>
        </w:tc>
      </w:tr>
      <w:tr>
        <w:trPr>
          <w:trHeight w:val="153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5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None.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20" w:bottom="1000" w:left="580" w:right="54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88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198" w:right="319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Maternal and Child Health and Women’s Health</w:t>
            </w:r>
          </w:p>
          <w:p>
            <w:pPr>
              <w:pStyle w:val="TableParagraph"/>
              <w:ind w:left="357" w:right="2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lesser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greater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capability or expertise to provide and support health care when distance separates participants who are in different geographical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General Statute 130A-125(b2)(1). (Accessed Mar. 2020).</w:t>
            </w:r>
          </w:p>
        </w:tc>
      </w:tr>
      <w:tr>
        <w:trPr>
          <w:trHeight w:val="1523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3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12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7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6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Physical Therapy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PT Compact. Compact Map. HB 57 (2017).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Nurses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Current NLC States &amp; Status. Nurse Licensure Compact. (Accessed Mar. 2020).</w:t>
            </w:r>
          </w:p>
        </w:tc>
      </w:tr>
      <w:tr>
        <w:trPr>
          <w:trHeight w:val="3137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9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may be utilized for neonatal or infant echocardiograms.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10A N.C.A.C. 43K.0102(c)(3).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comes into custody of law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enforcement.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N.C. Gen. Stat. § 122C-263(c).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2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Commission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address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follow-up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protocols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ensure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early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newborn infants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congenital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defects,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General Statute 130A-125(b2)(1). (Accessed Mar. 2020).</w:t>
            </w:r>
          </w:p>
        </w:tc>
      </w:tr>
    </w:tbl>
    <w:sectPr>
      <w:pgSz w:w="12240" w:h="15840"/>
      <w:pgMar w:header="0" w:footer="809" w:top="740" w:bottom="1000" w:left="5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96736">
          <wp:simplePos x="0" y="0"/>
          <wp:positionH relativeFrom="page">
            <wp:posOffset>451927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7.646698pt;margin-top:736.529297pt;width:90.95pt;height:16.45pt;mso-position-horizontal-relative:page;mso-position-vertical-relative:page;z-index:-252318720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NORTH</w:t>
                </w:r>
                <w:r>
                  <w:rPr>
                    <w:rFonts w:ascii="Arial Black"/>
                    <w:color w:val="BBB1AE"/>
                    <w:spacing w:val="-36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CAROLINA</w:t>
                </w:r>
                <w:r>
                  <w:rPr>
                    <w:rFonts w:ascii="Arial Black"/>
                    <w:color w:val="BBB1AE"/>
                    <w:spacing w:val="-36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36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427399pt;margin-top:741.753662pt;width:165.85pt;height:8.450pt;mso-position-horizontal-relative:page;mso-position-vertical-relative:page;z-index:-25231769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020302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spacing w:before="18"/>
      <w:ind w:left="3934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ma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2020-05-25T20:06:41Z</dcterms:created>
  <dcterms:modified xsi:type="dcterms:W3CDTF">2020-05-25T20:06:41Z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