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4"/>
        <w:ind w:left="901" w:right="945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Massachusetts</w:t>
      </w:r>
    </w:p>
    <w:p>
      <w:pPr>
        <w:pStyle w:val="BodyText"/>
        <w:spacing w:before="4"/>
        <w:rPr>
          <w:rFonts w:ascii="Arial Black"/>
          <w:sz w:val="9"/>
        </w:rPr>
      </w:pPr>
    </w:p>
    <w:p>
      <w:pPr>
        <w:spacing w:before="96"/>
        <w:ind w:left="901" w:right="1027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MassHealth</w:t>
      </w:r>
    </w:p>
    <w:p>
      <w:pPr>
        <w:spacing w:before="120"/>
        <w:ind w:left="901" w:right="1027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MA Dept. of Health and Human Services</w:t>
      </w:r>
    </w:p>
    <w:p>
      <w:pPr>
        <w:spacing w:before="101"/>
        <w:ind w:left="901" w:right="1028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Northeast Regional Telehealth Resource Center </w:t>
      </w:r>
      <w:hyperlink r:id="rId6">
        <w:r>
          <w:rPr>
            <w:color w:val="F47920"/>
            <w:sz w:val="22"/>
            <w:u w:val="single" w:color="F47920"/>
          </w:rPr>
          <w:t>www.netrc.org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275"/>
      </w:pPr>
      <w:r>
        <w:rPr>
          <w:color w:val="534F4C"/>
          <w:w w:val="85"/>
        </w:rPr>
        <w:t>Massachusetts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74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6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80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06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1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86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9" cy="113919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</w:tr>
    </w:tbl>
    <w:p>
      <w:pPr>
        <w:pStyle w:val="BodyText"/>
        <w:spacing w:before="13"/>
        <w:rPr>
          <w:rFonts w:ascii="Arial Black"/>
          <w:sz w:val="45"/>
        </w:rPr>
      </w:pPr>
    </w:p>
    <w:p>
      <w:pPr>
        <w:spacing w:before="0" w:after="58"/>
        <w:ind w:left="901" w:right="962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Massachusetts Detailed Policy</w:t>
      </w: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669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57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Massachusetts Medicaid (MassHealth) allows for the use of telehealth in Medicaid behavioral health services. Additionally, a 2014 budget bill that allocated funds for the reimbursement of 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mentioned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CCHP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found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Massachusetts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 managed care plans may reimburse for telehealth delivered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the use of electronic communication and information technologies to provide or support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secure interactive audio and video telecommunications systems that permit two-way, real-time communication between a patient and 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62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1, Jan. 2019. (Accessed Mar. 2020).</w:t>
            </w:r>
          </w:p>
        </w:tc>
      </w:tr>
      <w:tr>
        <w:trPr>
          <w:trHeight w:val="248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66" w:right="76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66" w:right="76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modality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required to deliver services 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bulletin does not apply to services under the </w:t>
            </w:r>
            <w:r>
              <w:rPr>
                <w:color w:val="231F20"/>
                <w:spacing w:val="-3"/>
                <w:w w:val="105"/>
                <w:sz w:val="18"/>
              </w:rPr>
              <w:t>Children’s </w:t>
            </w:r>
            <w:r>
              <w:rPr>
                <w:color w:val="231F20"/>
                <w:w w:val="105"/>
                <w:sz w:val="18"/>
              </w:rPr>
              <w:t>Behavioral Health Initiative (CBHI)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continue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modalities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 in applicable program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specifications.</w:t>
            </w:r>
          </w:p>
          <w:p>
            <w:pPr>
              <w:pStyle w:val="TableParagraph"/>
              <w:spacing w:before="152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1, Jan. 2019.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18" w:top="520" w:bottom="1000" w:left="620" w:right="52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84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01" w:right="439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98" w:right="439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0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 Use Disorder providers (provider types 20, 26 and 28) may deliver the following covered services via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services specified in 101 CMR 306.00 et seq.;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outpatient services specified in the following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categories: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Opioid Treatment Services: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Ambulatory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Services: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for Pregnant/Postpartum Clients: Outpatient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spacing w:before="152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1, Jan. 2019.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MassHealth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Letter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details.</w:t>
            </w:r>
          </w:p>
          <w:p>
            <w:pPr>
              <w:pStyle w:val="TableParagraph"/>
              <w:spacing w:before="152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Transmittal Letter CHC-113, p. 6-11 &amp; 6-12, Mar. 2020. (Accessed Mar. 2020).</w:t>
            </w:r>
          </w:p>
        </w:tc>
      </w:tr>
      <w:tr>
        <w:trPr>
          <w:trHeight w:val="578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60" w:right="205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sites and providers may deliver behavioral health services via telehealth: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Substance Use Disorder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Psychoanalysts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Social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Behavioral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 other qualified MassHealth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*Community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 Use Disorder providers (provider types 20, 26 and 28) may deliver the following covered services via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services specified in 101 CMR 306.00 et seq.;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outpatient services specified in the following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categories: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Opioid Treatment Services: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Ambulatory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Services: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for Pregnant/Postpartum Clients: Outpatient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1-2, Jan. 2019. (Accessed Mar.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8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spacing w:before="4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are no geographic or facility restrictions on distant or originating sites.</w:t>
            </w:r>
          </w:p>
          <w:p>
            <w:pPr>
              <w:pStyle w:val="TableParagraph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1, Jan. 2019.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8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600" w:right="358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00" w:right="353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18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789"/>
        <w:gridCol w:w="665"/>
        <w:gridCol w:w="8220"/>
      </w:tblGrid>
      <w:tr>
        <w:trPr>
          <w:trHeight w:val="2296" w:hRule="atLeast"/>
        </w:trPr>
        <w:tc>
          <w:tcPr>
            <w:tcW w:w="1065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78" w:right="466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89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3306" w:right="329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65" w:type="dxa"/>
            <w:shd w:val="clear" w:color="auto" w:fill="C0B7B4"/>
            <w:textDirection w:val="btLr"/>
          </w:tcPr>
          <w:p>
            <w:pPr>
              <w:pStyle w:val="TableParagraph"/>
              <w:spacing w:before="178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6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shd w:val="clear" w:color="auto" w:fill="C0B7B4"/>
            <w:textDirection w:val="btLr"/>
          </w:tcPr>
          <w:p>
            <w:pPr>
              <w:pStyle w:val="TableParagraph"/>
              <w:spacing w:before="178"/>
              <w:ind w:left="4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shd w:val="clear" w:color="auto" w:fill="C0B7B4"/>
            <w:textDirection w:val="btLr"/>
          </w:tcPr>
          <w:p>
            <w:pPr>
              <w:pStyle w:val="TableParagraph"/>
              <w:spacing w:before="178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581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shd w:val="clear" w:color="auto" w:fill="C0B7B4"/>
            <w:textDirection w:val="btLr"/>
          </w:tcPr>
          <w:p>
            <w:pPr>
              <w:pStyle w:val="TableParagraph"/>
              <w:spacing w:before="178"/>
              <w:ind w:left="55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shd w:val="clear" w:color="auto" w:fill="716764"/>
            <w:textDirection w:val="btLr"/>
          </w:tcPr>
          <w:p>
            <w:pPr>
              <w:pStyle w:val="TableParagraph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85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shd w:val="clear" w:color="auto" w:fill="716764"/>
            <w:textDirection w:val="btLr"/>
          </w:tcPr>
          <w:p>
            <w:pPr>
              <w:pStyle w:val="TableParagraph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85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75" w:right="197"/>
              <w:rPr>
                <w:sz w:val="18"/>
              </w:rPr>
            </w:pPr>
            <w:r>
              <w:rPr>
                <w:color w:val="020302"/>
                <w:w w:val="105"/>
                <w:sz w:val="18"/>
              </w:rPr>
              <w:t>Providers</w:t>
            </w:r>
            <w:r>
              <w:rPr>
                <w:color w:val="020302"/>
                <w:spacing w:val="-1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must</w:t>
            </w:r>
            <w:r>
              <w:rPr>
                <w:color w:val="020302"/>
                <w:spacing w:val="-1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follow</w:t>
            </w:r>
            <w:r>
              <w:rPr>
                <w:color w:val="020302"/>
                <w:spacing w:val="-15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consent</w:t>
            </w:r>
            <w:r>
              <w:rPr>
                <w:color w:val="020302"/>
                <w:spacing w:val="-1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and</w:t>
            </w:r>
            <w:r>
              <w:rPr>
                <w:color w:val="020302"/>
                <w:spacing w:val="-15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patient</w:t>
            </w:r>
            <w:r>
              <w:rPr>
                <w:color w:val="020302"/>
                <w:spacing w:val="-1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information</w:t>
            </w:r>
            <w:r>
              <w:rPr>
                <w:color w:val="020302"/>
                <w:spacing w:val="-15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protocol</w:t>
            </w:r>
            <w:r>
              <w:rPr>
                <w:color w:val="020302"/>
                <w:spacing w:val="-1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consistent</w:t>
            </w:r>
            <w:r>
              <w:rPr>
                <w:color w:val="020302"/>
                <w:spacing w:val="-15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with</w:t>
            </w:r>
            <w:r>
              <w:rPr>
                <w:color w:val="020302"/>
                <w:spacing w:val="-1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those</w:t>
            </w:r>
            <w:r>
              <w:rPr>
                <w:color w:val="020302"/>
                <w:spacing w:val="-15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followed during in-person</w:t>
            </w:r>
            <w:r>
              <w:rPr>
                <w:color w:val="020302"/>
                <w:spacing w:val="-3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visits.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3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1, Jan. 2019.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8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64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76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initial in-person examination of the patient. Ongoing in-personal examinations are required every three months for the duration of 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2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 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bulletin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documenta- tion and record keeping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MassHealth All Provider Bulletin 281, p. 2-3, Jan. 2019.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143" w:right="313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pertains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 audio, video or other electronic media for the purpose of diagnosis, consultation or treatment. ‘Telemedicine’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Annotated Laws of MA. Part I, Title XXII, Ch. 175, Sec. 47BB. (Accessed Mar. 2020).</w:t>
            </w:r>
          </w:p>
        </w:tc>
      </w:tr>
      <w:tr>
        <w:trPr>
          <w:trHeight w:val="31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1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 network approved by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contract that provides coverage for services under this section may contain a provision for a deductible, copayment or coinsurance requirement for a health care service provided through 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 copayment or coinsurance applicable to an in-person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 services provided through 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Annotated Laws of MA. Part I, Title XXII, Ch. 175, Sec. 47BB. (Accessed Mar. 2020).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72" w:right="126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 payers may provide coverage of telemedicine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Annotated Laws of MA. Part I, Title XXII, Ch. 175, Sec. 47BB. (Accessed Mar.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explicit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parity.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services provided through 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Annotated Laws of MA. Part I, Title XXII, Ch. 175, Sec. 47BB.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8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366" w:right="336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0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115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54" w:right="6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420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51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prac- tice,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maintaining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 well-being.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 such as taking an adequate medical history, doing a physical and/or mental status examination and document the findings. This rule applies to any prescription, issued by any means, including the Internet or other electronic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164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“Internet Prescribing,” MA Board of Registration in Medicine. Dec. 17, 2003 &amp; Prescribing Practices Policy </w:t>
            </w:r>
            <w:r>
              <w:rPr>
                <w:i/>
                <w:color w:val="231F20"/>
                <w:sz w:val="13"/>
              </w:rPr>
              <w:t>and Guidelines. Policy 03-06 (Adopted Oct. 8, 2015), (Accessed Mar.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sectPr>
      <w:pgSz w:w="12240" w:h="15840"/>
      <w:pgMar w:header="0" w:footer="818" w:top="720" w:bottom="100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84800">
          <wp:simplePos x="0" y="0"/>
          <wp:positionH relativeFrom="page">
            <wp:posOffset>457319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251312pt;margin-top:736.119995pt;width:92.4pt;height:16.45pt;mso-position-horizontal-relative:page;mso-position-vertical-relative:page;z-index:-25223065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MASSACHUSETTS</w:t>
                </w:r>
                <w:r>
                  <w:rPr>
                    <w:rFonts w:ascii="Arial Black"/>
                    <w:color w:val="BBB1AE"/>
                    <w:spacing w:val="-30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9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753662pt;width:165.85pt;height:8.450pt;mso-position-horizontal-relative:page;mso-position-vertical-relative:page;z-index:-2522296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901" w:right="948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e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2020-05-25T20:01:01Z</dcterms:created>
  <dcterms:modified xsi:type="dcterms:W3CDTF">2020-05-25T20:01:01Z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