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9"/>
        <w:ind w:left="1219" w:right="1224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Kentucky</w:t>
      </w:r>
    </w:p>
    <w:p>
      <w:pPr>
        <w:pStyle w:val="BodyText"/>
        <w:rPr>
          <w:rFonts w:ascii="Arial Black"/>
          <w:sz w:val="17"/>
        </w:rPr>
      </w:pPr>
    </w:p>
    <w:p>
      <w:pPr>
        <w:spacing w:before="96"/>
        <w:ind w:left="1219" w:right="1305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Kentucky Medicaid</w:t>
      </w:r>
    </w:p>
    <w:p>
      <w:pPr>
        <w:spacing w:before="120"/>
        <w:ind w:left="1219" w:right="1305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Kentucky Dept. for Medicaid Services</w:t>
      </w:r>
    </w:p>
    <w:p>
      <w:pPr>
        <w:spacing w:before="101"/>
        <w:ind w:left="1219" w:right="1305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Mid-Atlantic Telehealth Resource Center </w:t>
      </w:r>
      <w:hyperlink r:id="rId6">
        <w:r>
          <w:rPr>
            <w:color w:val="F47920"/>
            <w:sz w:val="22"/>
            <w:u w:val="single" w:color="F47920"/>
          </w:rPr>
          <w:t>www.matrc.org</w:t>
        </w:r>
      </w:hyperlink>
    </w:p>
    <w:p>
      <w:pPr>
        <w:pStyle w:val="BodyText"/>
        <w:spacing w:before="5"/>
        <w:rPr>
          <w:sz w:val="35"/>
        </w:rPr>
      </w:pPr>
    </w:p>
    <w:p>
      <w:pPr>
        <w:spacing w:before="1"/>
        <w:ind w:left="1219" w:right="1262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Kentucky Policy At-a-Glance</w:t>
      </w:r>
    </w:p>
    <w:p>
      <w:pPr>
        <w:pStyle w:val="BodyText"/>
        <w:rPr>
          <w:rFonts w:ascii="Arial Black"/>
          <w:sz w:val="5"/>
        </w:rPr>
      </w:pPr>
    </w:p>
    <w:tbl>
      <w:tblPr>
        <w:tblW w:w="0" w:type="auto"/>
        <w:jc w:val="left"/>
        <w:tblInd w:w="215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374"/>
              <w:rPr>
                <w:sz w:val="12"/>
              </w:rPr>
            </w:pPr>
            <w:r>
              <w:rPr>
                <w:color w:val="231F20"/>
                <w:sz w:val="12"/>
              </w:rPr>
              <w:t>IMLC, 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2"/>
        <w:rPr>
          <w:rFonts w:ascii="Arial Black"/>
          <w:sz w:val="35"/>
        </w:rPr>
      </w:pPr>
    </w:p>
    <w:p>
      <w:pPr>
        <w:spacing w:before="0" w:after="39"/>
        <w:ind w:left="1219" w:right="1275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Kentucky Detailed Policy</w:t>
      </w: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4724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863" w:right="186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07" w:right="190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KY Medicaid is required to reimburse for covered services provided to a Medicaid recipient through telehealth.</w:t>
            </w:r>
            <w:r>
              <w:rPr>
                <w:color w:val="231F20"/>
                <w:spacing w:val="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 which are equivalent to the coverage for the same service provided in-person unless the telehealth 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contractually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lower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services, or the Department establishes a different reimbursement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KY Medicaid and any Medicaid managed care organization are restricted from doing the following: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3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6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clearance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 would not be required if a service were provided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0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81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 through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9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Restrict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application used to deliver the telehealth service;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 a Medicaid provider to be part of a telehealth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Statutes. 205.5591. (Accessed Apr. 2020).</w:t>
            </w:r>
          </w:p>
        </w:tc>
      </w:tr>
      <w:tr>
        <w:trPr>
          <w:trHeight w:val="34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92" w:right="119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means the delivery of health care-related services by Medicaid provider who is a health care provider licensed in Kentucky to a Medicaid recipient through a face-to-face encounter with access to real-time interactive audio and video technology or store-and-forward services that are 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specialist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evaluation.</w:t>
            </w:r>
            <w:r>
              <w:rPr>
                <w:color w:val="231F20"/>
                <w:spacing w:val="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satisfied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 of asynchronous telecommunications technologies in which the health care provider has access to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deliv- ery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shall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connection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complies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 consultation means a medical or health consultation, for purposes of patient diagnosis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 treatment, that meets the definition of telehealth in this section.”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Statutes. 205.510. (Accessed Apr.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00" w:bottom="1000" w:left="580" w:right="52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25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81" w:right="427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05" w:right="110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use of interactive telecommunication equipment that includes, at a minimum, audio and video equipment.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907 KAR 1:055 (36). (Accessed Apr.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51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Telemedicine”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physi- 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 equipment.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907 KAR 9:005. (Accessed Apr. 2020).</w:t>
            </w:r>
          </w:p>
        </w:tc>
      </w:tr>
      <w:tr>
        <w:trPr>
          <w:trHeight w:val="326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389" w:right="438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28" w:right="132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Kentucky Medicaid will reimburse for a “telehealth consultation”, which includes live video.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denied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provider and a patient did 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occur.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205.559. (Accessed Apr.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 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100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percent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comparable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 A managed care plan may establish a different rate for telehealth reimbursement via con- tract.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Admin. Regs. Title, 907, 3:170. (Accessed Apr. 2020).</w:t>
            </w:r>
          </w:p>
        </w:tc>
      </w:tr>
      <w:tr>
        <w:trPr>
          <w:trHeight w:val="64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9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 w:right="2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fol- lowing: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Event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Encounter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Consultation, including a 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Visit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Referral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Treatment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service is not reimbursed if: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It is not medically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6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equivalent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 face setting;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9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provider is not enrolled, participating, or in good standing with the Medicaid program,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terminated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 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entity,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Inspector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General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 is not made for services that are not: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Compliant with administrative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Applicable to this administrative regulation;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Compliant with state or federal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law.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Admin. Regs. Title, 907, 3:170.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930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601" w:right="458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98" w:right="458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826" w:right="38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“telehealth care provider” is a Medicaid provider who is: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Currently enrolled as a Medicaid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Participating as a Medicaid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Operating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licensure;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Operating within the provider’s scope 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practice.</w:t>
            </w:r>
          </w:p>
          <w:p>
            <w:pPr>
              <w:pStyle w:val="TableParagraph"/>
              <w:spacing w:before="157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Admin. Regs. Title, 907, 3:170. (Accessed Apr.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 for services NOT in a Community Mental Health Center: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psychia- trist also interacts with the recipient during the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0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psychologist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doctorate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degree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psychology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em- ployed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 the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2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psychiatrist also interacts with the recipient during the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1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marriage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psychiatrist also interacts with the recipient during the</w:t>
            </w:r>
            <w:r>
              <w:rPr>
                <w:color w:val="231F20"/>
                <w:spacing w:val="-3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APRN;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Speech-language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pathologist;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 therapist;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Licensed dietitian or certified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nutritionist;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Registered nurse 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dietitian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Eligible providers for services in a Community Mental Health Center: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psychiatrist;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Psychologist with a license in accordance with KRS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319.010(6);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licensed marriage and family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licensed professional clinical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counselor;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licensed clinical social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480" w:lineRule="auto" w:before="0" w:after="0"/>
              <w:ind w:left="717" w:right="3930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advanced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nurse </w:t>
            </w:r>
            <w:r>
              <w:rPr>
                <w:color w:val="231F20"/>
                <w:w w:val="105"/>
                <w:sz w:val="18"/>
              </w:rPr>
              <w:t>Restrictions apply for all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professionals.</w:t>
            </w:r>
          </w:p>
          <w:p>
            <w:pPr>
              <w:pStyle w:val="TableParagraph"/>
              <w:spacing w:line="158" w:lineRule="exact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State Plan Amendment. Attachment 3.1-B. Approved 3/9/2011 (Accessed Apr. 2020).</w:t>
            </w:r>
          </w:p>
        </w:tc>
      </w:tr>
      <w:tr>
        <w:trPr>
          <w:trHeight w:val="1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6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line="244" w:lineRule="auto" w:before="1"/>
              <w:ind w:left="357" w:right="552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anywhere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clinic, school 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workplace.</w:t>
            </w:r>
          </w:p>
          <w:p>
            <w:pPr>
              <w:pStyle w:val="TableParagraph"/>
              <w:spacing w:before="9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Admin. Regs. Title, 907, 3:170. (Accessed Apr.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00" w:right="448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4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5485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35" w:right="472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444" w:right="243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KY Medicaid reimburses for telehealth consultations, the definition of which encompasses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store-and-forward.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205.559. For definition, see: KY Revised Statute 205.510. (Accessed Apr.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permissible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 interaction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high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digital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transfer,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digital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asynchronous telehealth service shall be reimbursable if that service supports an up- coming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eligible specialties (see next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section).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quarterly,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 clarify that certain asynchronous telehealth services meet the requirements to be included as permissible asynchronous telehealth, as appropriate and as funds are available, if those asynchronous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evidence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service’s: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Safety;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sz w:val="18"/>
              </w:rPr>
              <w:t>Efficacy.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provider shall not receive additional reimbursement for an asynchronous telehealth service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 the service is an included or integral part of the billed office visit code or service code.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Admin. Regs. Title, 907, 3:170. (Accessed Apr. 2020).</w:t>
            </w:r>
          </w:p>
        </w:tc>
      </w:tr>
      <w:tr>
        <w:trPr>
          <w:trHeight w:val="558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3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8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Emergency Rule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specialties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 meets the criteria established in this section shall be reimbursable as a store-and-forward telehealth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22" w:val="left" w:leader="none"/>
              </w:tabs>
              <w:spacing w:line="240" w:lineRule="auto" w:before="0" w:after="0"/>
              <w:ind w:left="921" w:right="0" w:hanging="277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Radiology;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25" w:val="left" w:leader="none"/>
              </w:tabs>
              <w:spacing w:line="240" w:lineRule="auto" w:before="0" w:after="0"/>
              <w:ind w:left="924" w:right="0" w:hanging="28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Cardiology;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8" w:val="left" w:leader="none"/>
              </w:tabs>
              <w:spacing w:line="240" w:lineRule="auto" w:before="0" w:after="0"/>
              <w:ind w:left="917" w:right="0" w:hanging="273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Oncology;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26" w:val="left" w:leader="none"/>
              </w:tabs>
              <w:spacing w:line="240" w:lineRule="auto" w:before="0" w:after="0"/>
              <w:ind w:left="925" w:right="0" w:hanging="28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Obstetrics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gynecology;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9" w:val="left" w:leader="none"/>
              </w:tabs>
              <w:spacing w:line="240" w:lineRule="auto" w:before="0" w:after="0"/>
              <w:ind w:left="918" w:right="0" w:hanging="274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Ophthalmology and optometry, including a retinal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87" w:val="left" w:leader="none"/>
              </w:tabs>
              <w:spacing w:line="240" w:lineRule="auto" w:before="0" w:after="0"/>
              <w:ind w:left="886" w:right="0" w:hanging="242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Dentistry;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25" w:val="left" w:leader="none"/>
              </w:tabs>
              <w:spacing w:line="240" w:lineRule="auto" w:before="0" w:after="0"/>
              <w:ind w:left="924" w:right="0" w:hanging="28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Nephrology;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23" w:val="left" w:leader="none"/>
              </w:tabs>
              <w:spacing w:line="240" w:lineRule="auto" w:before="0" w:after="0"/>
              <w:ind w:left="922" w:right="0" w:hanging="278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Infectious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disease;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66" w:val="left" w:leader="none"/>
              </w:tabs>
              <w:spacing w:line="240" w:lineRule="auto" w:before="0" w:after="0"/>
              <w:ind w:left="865" w:right="0" w:hanging="22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Dermatology;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65" w:val="left" w:leader="none"/>
              </w:tabs>
              <w:spacing w:line="240" w:lineRule="auto" w:before="0" w:after="0"/>
              <w:ind w:left="864" w:right="0" w:hanging="22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Orthopedics;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15" w:val="left" w:leader="none"/>
              </w:tabs>
              <w:spacing w:line="240" w:lineRule="auto" w:before="0" w:after="0"/>
              <w:ind w:left="914" w:right="0" w:hanging="27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Wound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66" w:val="left" w:leader="none"/>
              </w:tabs>
              <w:spacing w:line="240" w:lineRule="auto" w:before="0" w:after="0"/>
              <w:ind w:left="645" w:right="538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clear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digital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integral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necessary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continue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course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84" w:val="left" w:leader="none"/>
              </w:tabs>
              <w:spacing w:line="240" w:lineRule="auto" w:before="0" w:after="0"/>
              <w:ind w:left="645" w:right="339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speech language pathology service that involves the analysis of a digital image, video,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sound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file,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consultation; or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23" w:val="left" w:leader="none"/>
              </w:tabs>
              <w:spacing w:line="240" w:lineRule="auto" w:before="0" w:after="0"/>
              <w:ind w:left="645" w:right="447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ser- 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Admin. Regs. Title, 907, 3:170. (Accessed Apr.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97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22" w:right="440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6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5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8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335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375" w:right="336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80" w:right="136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4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fee-for-ser- vice Medicaid program unless that 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17" w:val="left" w:leader="none"/>
              </w:tabs>
              <w:spacing w:line="240" w:lineRule="auto" w:before="0" w:after="0"/>
              <w:ind w:left="916" w:right="0" w:hanging="20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Expanded pursuant to subsection (4) of this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17" w:val="left" w:leader="none"/>
              </w:tabs>
              <w:spacing w:line="240" w:lineRule="auto" w:before="0" w:after="0"/>
              <w:ind w:left="717" w:right="660" w:firstLine="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value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ar- rangement;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17" w:val="left" w:leader="none"/>
              </w:tabs>
              <w:spacing w:line="240" w:lineRule="auto" w:before="0" w:after="0"/>
              <w:ind w:left="916" w:right="0" w:hanging="20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Otherwise included as a value added service or payment</w:t>
            </w:r>
            <w:r>
              <w:rPr>
                <w:color w:val="231F20"/>
                <w:spacing w:val="-3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arrangement.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service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expanded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subsection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(4)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Value based payment arrangement;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Value added service or payment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arrangement.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Admin. Regs. Title, 907, 3:170. (Accessed Apr. 2020).</w:t>
            </w:r>
          </w:p>
        </w:tc>
      </w:tr>
      <w:tr>
        <w:trPr>
          <w:trHeight w:val="168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9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7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13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2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865" w:right="386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</w:t>
            </w:r>
            <w:r>
              <w:rPr>
                <w:rFonts w:ascii="Arial Black"/>
                <w:color w:val="FFFFFF"/>
                <w:spacing w:val="-58"/>
                <w:w w:val="115"/>
                <w:sz w:val="20"/>
              </w:rPr>
              <w:t> </w:t>
            </w:r>
            <w:r>
              <w:rPr>
                <w:rFonts w:ascii="Arial Black"/>
                <w:color w:val="FFFFFF"/>
                <w:spacing w:val="-3"/>
                <w:w w:val="95"/>
                <w:sz w:val="20"/>
              </w:rPr>
              <w:t>Fax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email.</w:t>
            </w:r>
          </w:p>
          <w:p>
            <w:pPr>
              <w:pStyle w:val="TableParagraph"/>
              <w:ind w:left="357" w:right="546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reimbursement for telephone. No reimbursement for FAX.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205.559 (2)(b). (Accessed Apr.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45" w:right="74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Cabinet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pro- viders using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Statute Sec. 205.5591 (2). (Accessed Apr.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KY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Kentucky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reimburse- ment for telehealth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Statute Sec. 205.5591 (4). (Accessed Apr. 2019).</w:t>
            </w:r>
          </w:p>
        </w:tc>
      </w:tr>
      <w:tr>
        <w:trPr>
          <w:trHeight w:val="517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03" w:right="190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Cabinet for Health and Family Services is required to do the following: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9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Develop policies and procedures to ensure the proper use and security for telehealth, 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confidentiality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integrity,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privacy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security,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 consent privileging and credentialing, reimbursement and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Promote access to health care provided via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7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Maintain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recipi- ents throughout 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Commonwealth;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64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rendered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recognized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actively participating in the Medicaid program;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2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 that any required prior authorization requesting a referral or consultation for specialty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processed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specialist coordinates care with the patient’s primary care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Statute Sec. 205.5591 (2). (Accessed Apr.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Cabinet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telehealth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Statute Sec. 205.5591 (3). (Accessed Apr.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FQHCs and RHCs, a “visit” is defined as occurring in-person or via 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907 KAR 1:055 (37). (Accessed Apr.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923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54" w:right="474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46" w:right="93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(a) means the delivery of health care-related services by a health care provider who is 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Kentucky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 interactive audio and video technology or store-and-forward services that are provided via asyn- chronous technologies as the standard practice of care where images are sent to a specialist for evaluation. The requirement for a face-to-face encounter shall be satisfied with the use of asyn- chronous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pa- tient’s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client’s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encounter;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(b)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 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spacing w:line="216" w:lineRule="exact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(c) Shall be delivered over a secure communications connection that complies with HIPAA.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 Sec. 304.17A-005. (Accessed Apr. 2020).</w:t>
            </w:r>
          </w:p>
        </w:tc>
      </w:tr>
      <w:tr>
        <w:trPr>
          <w:trHeight w:val="422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49" w:right="143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insured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telehealth. A health benefit plan 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3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deter- mines that it is necessary to perform those services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1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review,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clearance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 would not be required if a service were provided</w:t>
            </w:r>
            <w:r>
              <w:rPr>
                <w:color w:val="231F20"/>
                <w:spacing w:val="-2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97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demonstration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 through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1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2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Restrict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application used to deliver the telehealth services;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 a provider to be part of a telehealth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network.</w:t>
            </w:r>
          </w:p>
          <w:p>
            <w:pPr>
              <w:pStyle w:val="TableParagraph"/>
              <w:spacing w:before="3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provider must be licensed in Kentucky to receive reimbursement for telehealth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 Sec. 304.17A-138. (Accessed Apr.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030" w:right="201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8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 necessary.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304.17A-138. (Accessed Apr.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4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50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equivalent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 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tractually agree to a lower reimbursement rate for telehealth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2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transmis- sion of a telehealth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304.17A-138. (Accessed Apr.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88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329" w:right="333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0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2"/>
              <w:rPr>
                <w:rFonts w:ascii="Arial Black"/>
                <w:sz w:val="25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Dietitians or Nutritionists &amp; Jail Standards (Department of Corrections)</w:t>
            </w: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care. It includes the use of electronic media for diagnosis, consultation, treatment, transfer of health or medical data, and continuing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education.”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310.200 &amp; KAR Title 501, Ch. 13, Sec. 010. (Accessed Apr. 2020).</w:t>
            </w:r>
          </w:p>
        </w:tc>
      </w:tr>
      <w:tr>
        <w:trPr>
          <w:trHeight w:val="9204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199" w:right="419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facilitates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 consent of the patient before services 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311.5975. (Accessed Apr.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Patient consent must be obtained by: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Physicians;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Chiropractors;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Nurses;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Dentists;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Dieticians 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nutritionist;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Pharmacist;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Psychologists or psychological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Occupational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Optometrist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Speech language pathologists 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audiologists;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Social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workers;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Marriage/family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therapists;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Respiratory 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Cited in various sections of law. Originated from HB 177 (2000).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Miscellaneous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regulatory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require- ments for informed consent 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Board of Speech Language Pathology and Audiology requires their licensees to inform the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client in writing, in an initial in-person meeting, about: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limitations of using technology in the provision of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Potential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confidentiality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telepractice;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Potential risks of disruption in the use of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telepractice;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routine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messages;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9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what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alternative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 purposes;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How communications can be directed to a specific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How the licensee stores electronic communications from the client;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discontinue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201 KAR 17:110. (Accessed Apr.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80" w:right="520"/>
        </w:sectPr>
      </w:pPr>
    </w:p>
    <w:tbl>
      <w:tblPr>
        <w:tblW w:w="0" w:type="auto"/>
        <w:jc w:val="left"/>
        <w:tblInd w:w="156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6019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099" w:right="409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34" w:right="213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69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transmitted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other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proper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relationship.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 includes: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Verification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claims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Establishment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practices;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Maintenance of a current medical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46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questionnaire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inadequate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 follow-up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311.597. (Accessed Apr. 2020).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“good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examination”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(needed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relationship)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done through telehealth. Not applicable to hospice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 § 218A.010(18). (Accessed Apr.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357" w:right="35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practitioner-patient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  <w:r>
              <w:rPr>
                <w:color w:val="231F20"/>
                <w:spacing w:val="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201 KAR 17:110. (Accessed Apr.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inducing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abortion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 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  <w:r>
              <w:rPr>
                <w:color w:val="231F20"/>
                <w:spacing w:val="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allowed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performance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abortion.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 Sec. 311.728. (Accessed Apr. 2020).</w:t>
            </w:r>
          </w:p>
        </w:tc>
      </w:tr>
      <w:tr>
        <w:trPr>
          <w:trHeight w:val="4667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4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51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Kentucky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exception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nonresidents of Kentucky and lawfully licensed to practice medicine or osteopathy in their states of actual residence,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infrequently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osteopathy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</w:p>
          <w:p>
            <w:pPr>
              <w:pStyle w:val="TableParagraph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called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attend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particular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Kentucky-licensed physician.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Revised Statutes § 311.560. (Accessed Apr. 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Newly Passed Legislation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Interstate Medical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KY Senate Bill 22 (2020 Session).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Nurse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Nurse Licensure Compact. Current NLC States and Status. NCSBN. (Accessed Apr.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Physical Therapy Compact.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HB 227-2017. PT Compact. Compact Map. (Accessed Apr. 2020).</w:t>
            </w:r>
          </w:p>
        </w:tc>
      </w:tr>
      <w:tr>
        <w:trPr>
          <w:trHeight w:val="2281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6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Recently Passed Legislation</w:t>
            </w:r>
          </w:p>
          <w:p>
            <w:pPr>
              <w:pStyle w:val="TableParagraph"/>
              <w:ind w:left="357" w:right="23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 is hereby created a Division of Telehealth Services within the Office of Health Data and Analytics to be headed by a director appointed by the secretary pursuant to 12 KRS 12.050. The division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oversight,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guidance,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 telehealth. The division shall implement telehealth services and develop standards, guidance, resources,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help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promote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Commonwealth.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Kentucky SB 123 (2020 Session).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4971" w:hRule="atLeast"/>
        </w:trPr>
        <w:tc>
          <w:tcPr>
            <w:tcW w:w="1080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35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0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99" w:right="179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Board Telehealth-Specific Regulations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Speech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Language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Pathology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Audiology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1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Title</w:t>
            </w:r>
            <w:r>
              <w:rPr>
                <w:i/>
                <w:color w:val="231F20"/>
                <w:spacing w:val="-6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201,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Ch.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17,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110)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5"/>
                <w:w w:val="105"/>
                <w:sz w:val="13"/>
              </w:rPr>
              <w:t>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Apr.</w:t>
            </w:r>
            <w:r>
              <w:rPr>
                <w:i/>
                <w:color w:val="231F20"/>
                <w:spacing w:val="-6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Optometric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Title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201,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Ch.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5,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055)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Apr.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Physical Therapy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Title 201, Ch. 22, Sec. 160) (Accessed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Apr.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Dieticians and Nutritionists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Title 201, Ch. 33, Sec. 070) (Accessed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Apr.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Applied Behavior Analysis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Title 201, Ch. 43, Sec. 100) (Accessed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Apr.</w:t>
            </w:r>
            <w:r>
              <w:rPr>
                <w:i/>
                <w:color w:val="231F20"/>
                <w:spacing w:val="-1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Nursing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Title 201, Ch. 20, Sec. 520) (Accessed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Apr.</w:t>
            </w:r>
            <w:r>
              <w:rPr>
                <w:i/>
                <w:color w:val="231F20"/>
                <w:spacing w:val="-19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 of Psychology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Title 201, Ch. 26, Sec. 310) (Accessed 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Apr.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4"/>
              </w:rPr>
            </w:pPr>
            <w:r>
              <w:rPr>
                <w:color w:val="231F20"/>
                <w:w w:val="105"/>
                <w:sz w:val="18"/>
              </w:rPr>
              <w:t>Occupational Therapy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4"/>
              </w:rPr>
              <w:t>TTitle 201, Ch. 28, Sec. 235) (Accessed </w:t>
            </w:r>
            <w:r>
              <w:rPr>
                <w:i/>
                <w:color w:val="231F20"/>
                <w:spacing w:val="-3"/>
                <w:w w:val="105"/>
                <w:sz w:val="14"/>
              </w:rPr>
              <w:t>Apr.</w:t>
            </w:r>
            <w:r>
              <w:rPr>
                <w:i/>
                <w:color w:val="231F20"/>
                <w:spacing w:val="1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4"/>
              </w:rPr>
            </w:pPr>
            <w:r>
              <w:rPr>
                <w:color w:val="231F20"/>
                <w:w w:val="105"/>
                <w:sz w:val="18"/>
              </w:rPr>
              <w:t>Marriage and Family Therapists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4"/>
              </w:rPr>
              <w:t>Title 201, Ch. 32, Sec. 110). (Accessed </w:t>
            </w:r>
            <w:r>
              <w:rPr>
                <w:i/>
                <w:color w:val="231F20"/>
                <w:spacing w:val="-3"/>
                <w:w w:val="105"/>
                <w:sz w:val="14"/>
              </w:rPr>
              <w:t>Apr.</w:t>
            </w:r>
            <w:r>
              <w:rPr>
                <w:i/>
                <w:color w:val="231F20"/>
                <w:spacing w:val="-25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4"/>
              </w:rPr>
              <w:t>2020).</w:t>
            </w:r>
          </w:p>
        </w:tc>
      </w:tr>
    </w:tbl>
    <w:sectPr>
      <w:pgSz w:w="12240" w:h="15840"/>
      <w:pgMar w:header="0" w:footer="809" w:top="720" w:bottom="100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drawing>
        <wp:anchor distT="0" distB="0" distL="0" distR="0" allowOverlap="1" layoutInCell="1" locked="0" behindDoc="1" simplePos="0" relativeHeight="250838016">
          <wp:simplePos x="0" y="0"/>
          <wp:positionH relativeFrom="page">
            <wp:posOffset>457700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9.663788pt;margin-top:736.529297pt;width:69.4pt;height:16.45pt;mso-position-horizontal-relative:page;mso-position-vertical-relative:page;z-index:-252477440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KENTUCKY /</w:t>
                </w:r>
                <w:r>
                  <w:rPr>
                    <w:rFonts w:ascii="Arial Black"/>
                    <w:color w:val="BBB1AE"/>
                    <w:spacing w:val="-38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82pt;margin-top:741.753662pt;width:165.85pt;height:8.450pt;mso-position-horizontal-relative:page;mso-position-vertical-relative:page;z-index:-25247641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077" w:hanging="360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916" w:hanging="200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45" w:hanging="2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1" w:hanging="2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6" w:hanging="2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2" w:hanging="2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47" w:hanging="2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73" w:hanging="2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98" w:hanging="2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24" w:hanging="20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921" w:hanging="276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45" w:hanging="27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1" w:hanging="27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6" w:hanging="27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22" w:hanging="27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47" w:hanging="27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73" w:hanging="27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98" w:hanging="27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24" w:hanging="27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05" w:hanging="360"/>
        <w:jc w:val="left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1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8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0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2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40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ma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2020-05-25T20:01:33Z</dcterms:created>
  <dcterms:modified xsi:type="dcterms:W3CDTF">2020-05-25T20:01:33Z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