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5"/>
          <w:sz w:val="36"/>
        </w:rPr>
        <w:t>Utah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Utah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Utah Dept. of </w:t>
      </w:r>
      <w:r>
        <w:rPr>
          <w:rFonts w:ascii="Arial"/>
          <w:spacing w:val="-3"/>
          <w:w w:val="105"/>
          <w:sz w:val="19"/>
        </w:rPr>
        <w:t>Healt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26" w:lineRule="exact" w:before="19"/>
        <w:ind w:left="119" w:right="6185"/>
        <w:jc w:val="left"/>
      </w:pPr>
      <w:r>
        <w:rPr>
          <w:spacing w:val="-4"/>
          <w:w w:val="105"/>
        </w:rPr>
        <w:t>Nort</w:t>
      </w:r>
      <w:r>
        <w:rPr>
          <w:spacing w:val="-39"/>
          <w:w w:val="105"/>
        </w:rPr>
        <w:t> </w:t>
      </w:r>
      <w:r>
        <w:rPr>
          <w:w w:val="105"/>
        </w:rPr>
        <w:t>hwest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Regi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onal</w:t>
      </w:r>
      <w:r>
        <w:rPr>
          <w:spacing w:val="6"/>
          <w:w w:val="105"/>
        </w:rPr>
        <w:t> </w:t>
      </w:r>
      <w:r>
        <w:rPr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Resource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Cent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er </w:t>
      </w:r>
      <w:r>
        <w:rPr>
          <w:spacing w:val="-4"/>
          <w:w w:val="105"/>
        </w:rPr>
      </w:r>
      <w:r>
        <w:rPr>
          <w:w w:val="105"/>
        </w:rPr>
        <w:t>2900 12</w:t>
      </w:r>
      <w:r>
        <w:rPr>
          <w:w w:val="105"/>
          <w:position w:val="11"/>
          <w:sz w:val="13"/>
        </w:rPr>
        <w:t>th </w:t>
      </w:r>
      <w:r>
        <w:rPr>
          <w:w w:val="105"/>
        </w:rPr>
        <w:t>A </w:t>
      </w:r>
      <w:r>
        <w:rPr>
          <w:spacing w:val="-9"/>
          <w:w w:val="105"/>
        </w:rPr>
        <w:t>ve. </w:t>
      </w:r>
      <w:r>
        <w:rPr>
          <w:w w:val="105"/>
        </w:rPr>
        <w:t>N., Ste.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30W</w:t>
      </w:r>
      <w:r>
        <w:rPr>
          <w:spacing w:val="-3"/>
        </w:rPr>
      </w:r>
    </w:p>
    <w:p>
      <w:pPr>
        <w:pStyle w:val="BodyText"/>
        <w:spacing w:line="240" w:lineRule="auto" w:before="1"/>
        <w:ind w:right="0"/>
        <w:jc w:val="left"/>
      </w:pPr>
      <w:r>
        <w:rPr>
          <w:w w:val="105"/>
        </w:rPr>
        <w:t>Billings, MT</w:t>
      </w:r>
      <w:r>
        <w:rPr>
          <w:spacing w:val="-22"/>
          <w:w w:val="105"/>
        </w:rPr>
        <w:t> </w:t>
      </w:r>
      <w:r>
        <w:rPr>
          <w:spacing w:val="2"/>
          <w:w w:val="105"/>
        </w:rPr>
        <w:t>59101</w:t>
      </w:r>
      <w:r>
        <w:rPr>
          <w:spacing w:val="2"/>
        </w:rPr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662-5601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spacing w:val="-1"/>
            <w:u w:val="single" w:color="F47B20"/>
          </w:rPr>
          <w:t>www.nrt</w:t>
        </w:r>
        <w:r>
          <w:rPr>
            <w:color w:val="F47B20"/>
            <w:spacing w:val="3"/>
            <w:u w:val="single" w:color="F47B20"/>
          </w:rPr>
          <w:t> </w:t>
        </w:r>
        <w:r>
          <w:rPr>
            <w:color w:val="F47B20"/>
            <w:spacing w:val="-2"/>
            <w:u w:val="single" w:color="F47B20"/>
          </w:rPr>
          <w:t>rc.org</w:t>
        </w:r>
        <w:r>
          <w:rPr>
            <w:color w:val="F47B20"/>
            <w:spacing w:val="-2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"Digital health service means the electronic trans fer, exchange,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relat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 consultation, educational,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public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related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26-9f-102.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technological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method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providing </w:t>
            </w:r>
            <w:r>
              <w:rPr>
                <w:rFonts w:ascii="Arial"/>
                <w:spacing w:val="-3"/>
                <w:w w:val="105"/>
                <w:sz w:val="19"/>
              </w:rPr>
              <w:t>auditory and </w:t>
            </w:r>
            <w:r>
              <w:rPr>
                <w:rFonts w:ascii="Arial"/>
                <w:spacing w:val="-5"/>
                <w:w w:val="105"/>
                <w:sz w:val="19"/>
              </w:rPr>
              <w:t>visual </w:t>
            </w:r>
            <w:r>
              <w:rPr>
                <w:rFonts w:ascii="Arial"/>
                <w:w w:val="105"/>
                <w:sz w:val="19"/>
              </w:rPr>
              <w:t>connection between the </w:t>
            </w:r>
            <w:r>
              <w:rPr>
                <w:rFonts w:ascii="Arial"/>
                <w:w w:val="105"/>
                <w:sz w:val="19"/>
              </w:rPr>
              <w:t>skilled home health care nurse at a </w:t>
            </w:r>
            <w:r>
              <w:rPr>
                <w:rFonts w:ascii="Arial"/>
                <w:spacing w:val="-4"/>
                <w:w w:val="105"/>
                <w:sz w:val="19"/>
              </w:rPr>
              <w:t>Telehealth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living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rural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Utah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0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Utah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Agencies,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eligible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bursement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under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Utah’s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Assistance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26-18-13.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manual states that information regarding Medicaid’s telem edicine policy is available in Section 1 (General Inform ation).  However, no information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could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 found in the current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version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referenced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Utah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Physi</w:t>
              </w:r>
              <w:r>
                <w:rPr>
                  <w:rFonts w:ascii="Arial"/>
                  <w:b/>
                  <w:i/>
                  <w:color w:val="F47B20"/>
                  <w:spacing w:val="-3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cian</w:t>
              </w:r>
            </w:hyperlink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Home</w:t>
            </w:r>
            <w:r>
              <w:rPr>
                <w:rFonts w:ascii="Arial"/>
                <w:b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1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Asynchronous transmission of telehealth data such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radiology </w:t>
            </w:r>
            <w:r>
              <w:rPr>
                <w:rFonts w:ascii="Arial"/>
                <w:w w:val="105"/>
                <w:sz w:val="19"/>
              </w:rPr>
              <w:t>or electrocardiogram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covered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project.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Utah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Agencies,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6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Skilled </w:t>
            </w:r>
            <w:r>
              <w:rPr>
                <w:rFonts w:ascii="Arial"/>
                <w:b/>
                <w:spacing w:val="-6"/>
                <w:w w:val="105"/>
                <w:sz w:val="19"/>
                <w:u w:val="single" w:color="000000"/>
              </w:rPr>
              <w:t>Nurse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Pilot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Project for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Patients</w:t>
            </w:r>
            <w:r>
              <w:rPr>
                <w:rFonts w:ascii="Arial"/>
                <w:b/>
                <w:spacing w:val="-3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in Rural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Areas</w:t>
            </w:r>
            <w:r>
              <w:rPr>
                <w:rFonts w:ascii="Arial"/>
                <w:b/>
                <w:spacing w:val="4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UT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4" w:right="2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</w:t>
            </w:r>
            <w:r>
              <w:rPr>
                <w:rFonts w:ascii="Arial"/>
                <w:spacing w:val="-4"/>
                <w:w w:val="105"/>
                <w:sz w:val="19"/>
              </w:rPr>
              <w:t>Nurs </w:t>
            </w:r>
            <w:r>
              <w:rPr>
                <w:rFonts w:ascii="Arial"/>
                <w:w w:val="105"/>
                <w:sz w:val="19"/>
              </w:rPr>
              <w:t>e Pilot Project for Patients in Rural Areas. </w:t>
            </w:r>
            <w:r>
              <w:rPr>
                <w:rFonts w:ascii="Arial"/>
                <w:w w:val="105"/>
                <w:sz w:val="19"/>
              </w:rPr>
              <w:t>Beneficiaries diagnosed with di </w:t>
            </w:r>
            <w:r>
              <w:rPr>
                <w:rFonts w:ascii="Arial"/>
                <w:spacing w:val="-3"/>
                <w:w w:val="105"/>
                <w:sz w:val="19"/>
              </w:rPr>
              <w:t>abet </w:t>
            </w:r>
            <w:r>
              <w:rPr>
                <w:rFonts w:ascii="Arial"/>
                <w:w w:val="105"/>
                <w:sz w:val="19"/>
              </w:rPr>
              <w:t>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eligible for </w:t>
            </w:r>
            <w:r>
              <w:rPr>
                <w:rFonts w:ascii="Arial"/>
                <w:w w:val="105"/>
                <w:sz w:val="19"/>
              </w:rPr>
              <w:t>participation. Utilization management preauthorization 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eligibility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 diagnosed with diabetes and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meets</w:t>
            </w:r>
            <w:r>
              <w:rPr>
                <w:rFonts w:ascii="Arial"/>
                <w:spacing w:val="2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criteria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(see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ow)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12"/>
                <w:w w:val="105"/>
                <w:sz w:val="19"/>
              </w:rPr>
              <w:t>ve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23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nursing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visits </w:t>
            </w:r>
            <w:r>
              <w:rPr>
                <w:rFonts w:ascii="Arial"/>
                <w:spacing w:val="-3"/>
                <w:w w:val="105"/>
                <w:sz w:val="19"/>
              </w:rPr>
              <w:t>per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week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19" w:after="0"/>
              <w:ind w:left="795" w:right="32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Agrees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Participation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physically able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5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Ability to </w:t>
            </w:r>
            <w:r>
              <w:rPr>
                <w:rFonts w:ascii="Arial"/>
                <w:spacing w:val="-3"/>
                <w:w w:val="105"/>
                <w:sz w:val="19"/>
              </w:rPr>
              <w:t>follow </w:t>
            </w:r>
            <w:r>
              <w:rPr>
                <w:rFonts w:ascii="Arial"/>
                <w:w w:val="105"/>
                <w:sz w:val="19"/>
              </w:rPr>
              <w:t>directions, push </w:t>
            </w:r>
            <w:r>
              <w:rPr>
                <w:rFonts w:ascii="Arial"/>
                <w:spacing w:val="4"/>
                <w:w w:val="105"/>
                <w:sz w:val="19"/>
              </w:rPr>
              <w:t>two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colored </w:t>
            </w:r>
            <w:r>
              <w:rPr>
                <w:rFonts w:ascii="Arial"/>
                <w:w w:val="105"/>
                <w:sz w:val="19"/>
              </w:rPr>
              <w:t>buttons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Hear and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7" w:after="0"/>
              <w:ind w:left="796" w:right="403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Apply the blood </w:t>
            </w:r>
            <w:r>
              <w:rPr>
                <w:rFonts w:ascii="Arial"/>
                <w:spacing w:val="2"/>
                <w:w w:val="105"/>
                <w:sz w:val="19"/>
              </w:rPr>
              <w:t>pressure </w:t>
            </w:r>
            <w:r>
              <w:rPr>
                <w:rFonts w:ascii="Arial"/>
                <w:w w:val="105"/>
                <w:sz w:val="19"/>
              </w:rPr>
              <w:t>cuff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 stethoscope </w:t>
            </w:r>
            <w:r>
              <w:rPr>
                <w:rFonts w:ascii="Arial"/>
                <w:w w:val="105"/>
                <w:sz w:val="19"/>
              </w:rPr>
              <w:t>appropriately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19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Want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project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54" w:lineRule="auto" w:before="7" w:after="0"/>
              <w:ind w:left="796" w:right="263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patient is unable to use equi pment, may still </w:t>
            </w:r>
            <w:r>
              <w:rPr>
                <w:rFonts w:ascii="Arial"/>
                <w:w w:val="105"/>
                <w:sz w:val="19"/>
              </w:rPr>
              <w:t>be included in pilot if they have a </w:t>
            </w:r>
            <w:r>
              <w:rPr>
                <w:rFonts w:ascii="Arial"/>
                <w:spacing w:val="-4"/>
                <w:w w:val="105"/>
                <w:sz w:val="19"/>
              </w:rPr>
              <w:t>full </w:t>
            </w:r>
            <w:r>
              <w:rPr>
                <w:rFonts w:ascii="Arial"/>
                <w:w w:val="105"/>
                <w:sz w:val="19"/>
              </w:rPr>
              <w:t>time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giver.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7" w:lineRule="auto" w:before="0" w:after="0"/>
              <w:ind w:left="796" w:right="15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determine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beneficiary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needs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quality of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delivery will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-3"/>
                <w:w w:val="105"/>
                <w:sz w:val="19"/>
              </w:rPr>
              <w:t>met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6" w:right="1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20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Monitoring for compliance in taking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5"/>
              <w:ind w:left="796" w:right="7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foot condition/assessment of wounds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inflamed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areas,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blood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glucose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20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Education which may include a review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5"/>
              <w:ind w:left="796" w:right="6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knowledge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process,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diet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nutritional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eling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20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Exercise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activity, diet /activity </w:t>
            </w:r>
            <w:r>
              <w:rPr>
                <w:rFonts w:ascii="Arial"/>
                <w:spacing w:val="-3"/>
                <w:w w:val="105"/>
                <w:sz w:val="19"/>
              </w:rPr>
              <w:t>adj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ustment in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5"/>
              <w:ind w:left="796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illness/stress,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gluc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ometer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 </w:t>
            </w:r>
            <w:r>
              <w:rPr>
                <w:rFonts w:ascii="Arial"/>
                <w:w w:val="105"/>
                <w:sz w:val="19"/>
              </w:rPr>
              <w:t>evaluation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17" w:after="0"/>
              <w:ind w:left="796" w:right="17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RN </w:t>
            </w:r>
            <w:r>
              <w:rPr>
                <w:rFonts w:ascii="Arial"/>
                <w:w w:val="105"/>
                <w:sz w:val="19"/>
              </w:rPr>
              <w:t>visits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covered for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ehealth home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z w:val="19"/>
              </w:rPr>
              <w:t>reimbursem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z w:val="19"/>
              </w:rPr>
              <w:t>ent.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76" w:right="2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has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four-hour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 education </w:t>
            </w:r>
            <w:r>
              <w:rPr>
                <w:rFonts w:ascii="Arial"/>
                <w:w w:val="105"/>
                <w:sz w:val="19"/>
              </w:rPr>
              <w:t>purposes,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traini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7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Utah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Home</w:t>
              </w:r>
              <w:r>
                <w:rPr>
                  <w:rFonts w:ascii="Arial"/>
                  <w:b/>
                  <w:i/>
                  <w:color w:val="F47B20"/>
                  <w:spacing w:val="-1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Health</w:t>
              </w:r>
              <w:r>
                <w:rPr>
                  <w:rFonts w:ascii="Arial"/>
                  <w:b/>
                  <w:i/>
                  <w:color w:val="F47B20"/>
                  <w:spacing w:val="-23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Agencies,</w:t>
              </w:r>
            </w:hyperlink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18-20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32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 </w:t>
            </w:r>
            <w:r>
              <w:rPr>
                <w:rFonts w:ascii="Arial"/>
                <w:w w:val="105"/>
                <w:sz w:val="19"/>
              </w:rPr>
              <w:t>e telemetry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outpatient long-term cardi </w:t>
            </w:r>
            <w:r>
              <w:rPr>
                <w:rFonts w:ascii="Arial"/>
                <w:spacing w:val="-4"/>
                <w:w w:val="105"/>
                <w:sz w:val="19"/>
              </w:rPr>
              <w:t>ac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monitoring is allowed with prior authorization. Criteria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be ordered by a BC/BE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neurologist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43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must have had a stroke or </w:t>
            </w:r>
            <w:r>
              <w:rPr>
                <w:rFonts w:ascii="Arial"/>
                <w:spacing w:val="-4"/>
                <w:w w:val="105"/>
                <w:sz w:val="19"/>
              </w:rPr>
              <w:t>TIA </w:t>
            </w:r>
            <w:r>
              <w:rPr>
                <w:rFonts w:ascii="Arial"/>
                <w:w w:val="105"/>
                <w:sz w:val="19"/>
              </w:rPr>
              <w:t>with </w:t>
            </w:r>
            <w:r>
              <w:rPr>
                <w:rFonts w:ascii="Arial"/>
                <w:spacing w:val="-4"/>
                <w:w w:val="105"/>
                <w:sz w:val="19"/>
              </w:rPr>
              <w:t>no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identifiable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cause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4" w:after="0"/>
              <w:ind w:left="795" w:right="88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should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already </w:t>
            </w:r>
            <w:r>
              <w:rPr>
                <w:rFonts w:ascii="Arial"/>
                <w:spacing w:val="-3"/>
                <w:w w:val="105"/>
                <w:sz w:val="19"/>
              </w:rPr>
              <w:t>had </w:t>
            </w:r>
            <w:r>
              <w:rPr>
                <w:rFonts w:ascii="Arial"/>
                <w:spacing w:val="5"/>
                <w:w w:val="105"/>
                <w:sz w:val="19"/>
              </w:rPr>
              <w:t>24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hour </w:t>
            </w:r>
            <w:r>
              <w:rPr>
                <w:rFonts w:ascii="Arial"/>
                <w:w w:val="105"/>
                <w:sz w:val="19"/>
              </w:rPr>
              <w:t>monitoring </w:t>
            </w:r>
            <w:r>
              <w:rPr>
                <w:rFonts w:ascii="Arial"/>
                <w:spacing w:val="4"/>
                <w:w w:val="105"/>
                <w:sz w:val="19"/>
              </w:rPr>
              <w:t>done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previously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5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should not be currently taking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anti-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22" w:lineRule="exact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coagul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Warfarin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 other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reason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23" w:after="0"/>
              <w:ind w:left="795" w:right="11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should not have a known contrai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ndication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Warfarin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4" w:after="0"/>
              <w:ind w:left="795" w:right="41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long-term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only be authorized 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30 day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0" w:after="0"/>
              <w:ind w:left="795" w:right="76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Data from the test must be reviewed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interpreted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BC/BE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cardiol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14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Utah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Physi</w:t>
              </w:r>
              <w:r>
                <w:rPr>
                  <w:rFonts w:ascii="Arial"/>
                  <w:b/>
                  <w:i/>
                  <w:color w:val="F47B20"/>
                  <w:spacing w:val="-3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cian</w:t>
              </w:r>
            </w:hyperlink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need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agency </w:t>
            </w:r>
            <w:r>
              <w:rPr>
                <w:rFonts w:ascii="Arial"/>
                <w:w w:val="105"/>
                <w:sz w:val="19"/>
              </w:rPr>
              <w:t>visits </w:t>
            </w:r>
            <w:r>
              <w:rPr>
                <w:rFonts w:ascii="Arial"/>
                <w:spacing w:val="-3"/>
                <w:w w:val="105"/>
                <w:sz w:val="19"/>
              </w:rPr>
              <w:t>per </w:t>
            </w:r>
            <w:r>
              <w:rPr>
                <w:rFonts w:ascii="Arial"/>
                <w:w w:val="105"/>
                <w:sz w:val="19"/>
              </w:rPr>
              <w:t>week.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ehealth home health services are </w:t>
            </w:r>
            <w:r>
              <w:rPr>
                <w:rFonts w:ascii="Arial"/>
                <w:w w:val="105"/>
                <w:sz w:val="19"/>
              </w:rPr>
              <w:t>limited to diabetic monitoring and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education.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5"/>
              <w:ind w:left="75" w:right="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agency must provide at least two in-person visits </w:t>
            </w:r>
            <w:r>
              <w:rPr>
                <w:rFonts w:ascii="Arial"/>
                <w:spacing w:val="-3"/>
                <w:w w:val="105"/>
                <w:sz w:val="19"/>
              </w:rPr>
              <w:t>per </w:t>
            </w:r>
            <w:r>
              <w:rPr>
                <w:rFonts w:ascii="Arial"/>
                <w:spacing w:val="-4"/>
                <w:w w:val="105"/>
                <w:sz w:val="19"/>
              </w:rPr>
              <w:t>week </w:t>
            </w:r>
            <w:r>
              <w:rPr>
                <w:rFonts w:ascii="Arial"/>
                <w:w w:val="105"/>
                <w:sz w:val="19"/>
              </w:rPr>
              <w:t>by a home health nurse, and may use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the in-person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R414-42-3.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first obtain information in the usual course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professional practice that is sufficient to </w:t>
            </w:r>
            <w:r>
              <w:rPr>
                <w:rFonts w:ascii="Arial"/>
                <w:w w:val="105"/>
                <w:sz w:val="19"/>
              </w:rPr>
              <w:t>establish a diagnosis, to </w:t>
            </w:r>
            <w:r>
              <w:rPr>
                <w:rFonts w:ascii="Arial"/>
                <w:spacing w:val="-3"/>
                <w:w w:val="105"/>
                <w:sz w:val="19"/>
              </w:rPr>
              <w:t>identify </w:t>
            </w:r>
            <w:r>
              <w:rPr>
                <w:rFonts w:ascii="Arial"/>
                <w:w w:val="105"/>
                <w:sz w:val="19"/>
              </w:rPr>
              <w:t>conditions, and to </w:t>
            </w:r>
            <w:r>
              <w:rPr>
                <w:rFonts w:ascii="Arial"/>
                <w:w w:val="105"/>
                <w:sz w:val="19"/>
              </w:rPr>
              <w:t>identify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potential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risks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propos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14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Internet-based questionnaires or interactions </w:t>
            </w:r>
            <w:r>
              <w:rPr>
                <w:rFonts w:ascii="Arial"/>
                <w:spacing w:val="5"/>
                <w:w w:val="105"/>
                <w:sz w:val="19"/>
              </w:rPr>
              <w:t>on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toll-free </w:t>
            </w:r>
            <w:r>
              <w:rPr>
                <w:rFonts w:ascii="Arial"/>
                <w:w w:val="105"/>
                <w:sz w:val="19"/>
              </w:rPr>
              <w:t>telephone </w:t>
            </w:r>
            <w:r>
              <w:rPr>
                <w:rFonts w:ascii="Arial"/>
                <w:spacing w:val="-3"/>
                <w:w w:val="105"/>
                <w:sz w:val="19"/>
              </w:rPr>
              <w:t>num </w:t>
            </w:r>
            <w:r>
              <w:rPr>
                <w:rFonts w:ascii="Arial"/>
                <w:w w:val="105"/>
                <w:sz w:val="19"/>
              </w:rPr>
              <w:t>bers, when there exists no other bona </w:t>
            </w:r>
            <w:r>
              <w:rPr>
                <w:rFonts w:ascii="Arial"/>
                <w:w w:val="105"/>
                <w:sz w:val="19"/>
              </w:rPr>
              <w:t>fide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patient-practitioner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bona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fide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referral </w:t>
            </w:r>
            <w:r>
              <w:rPr>
                <w:rFonts w:ascii="Arial"/>
                <w:w w:val="105"/>
                <w:sz w:val="19"/>
              </w:rPr>
              <w:t>by a practitioner involved in an existing patient- practitioner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hip,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58-1-501.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2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An out-of-state physician may </w:t>
            </w:r>
            <w:r>
              <w:rPr>
                <w:rFonts w:ascii="Arial"/>
                <w:color w:val="1F1F1F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color w:val="1F1F1F"/>
                <w:w w:val="105"/>
                <w:sz w:val="19"/>
              </w:rPr>
              <w:t>without a</w:t>
            </w:r>
            <w:r>
              <w:rPr>
                <w:rFonts w:ascii="Arial"/>
                <w:color w:val="1F1F1F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Utah 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</w:r>
            <w:r>
              <w:rPr>
                <w:rFonts w:ascii="Arial"/>
                <w:color w:val="1F1F1F"/>
                <w:w w:val="105"/>
                <w:sz w:val="19"/>
              </w:rPr>
              <w:t>license</w:t>
            </w:r>
            <w:r>
              <w:rPr>
                <w:rFonts w:ascii="Arial"/>
                <w:color w:val="1F1F1F"/>
                <w:spacing w:val="-7"/>
                <w:w w:val="105"/>
                <w:sz w:val="19"/>
              </w:rPr>
              <w:t> if: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7" w:lineRule="auto" w:before="0" w:after="0"/>
              <w:ind w:left="795" w:right="234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The </w:t>
            </w:r>
            <w:r>
              <w:rPr>
                <w:rFonts w:ascii="Arial"/>
                <w:color w:val="1F1F1F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color w:val="1F1F1F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is licensed in another state, with </w:t>
            </w:r>
            <w:r>
              <w:rPr>
                <w:rFonts w:ascii="Arial"/>
                <w:color w:val="1F1F1F"/>
                <w:w w:val="105"/>
                <w:sz w:val="19"/>
              </w:rPr>
              <w:t>no licensing action pendi ng and at least </w:t>
            </w:r>
            <w:r>
              <w:rPr>
                <w:rFonts w:ascii="Arial"/>
                <w:color w:val="1F1F1F"/>
                <w:spacing w:val="-4"/>
                <w:w w:val="105"/>
                <w:sz w:val="19"/>
              </w:rPr>
              <w:t>10 </w:t>
            </w:r>
            <w:r>
              <w:rPr>
                <w:rFonts w:ascii="Arial"/>
                <w:color w:val="1F1F1F"/>
                <w:spacing w:val="-4"/>
                <w:w w:val="105"/>
                <w:sz w:val="19"/>
              </w:rPr>
            </w:r>
            <w:r>
              <w:rPr>
                <w:rFonts w:ascii="Arial"/>
                <w:color w:val="1F1F1F"/>
                <w:w w:val="105"/>
                <w:sz w:val="19"/>
              </w:rPr>
              <w:t>years of professional</w:t>
            </w:r>
            <w:r>
              <w:rPr>
                <w:rFonts w:ascii="Arial"/>
                <w:color w:val="1F1F1F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experience;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17" w:after="0"/>
              <w:ind w:left="795" w:right="32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The services are rendered as a public</w:t>
            </w:r>
            <w:r>
              <w:rPr>
                <w:rFonts w:ascii="Arial"/>
                <w:color w:val="1F1F1F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service </w:t>
            </w:r>
            <w:r>
              <w:rPr>
                <w:rFonts w:ascii="Arial"/>
                <w:color w:val="1F1F1F"/>
                <w:w w:val="105"/>
                <w:sz w:val="19"/>
              </w:rPr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color w:val="1F1F1F"/>
                <w:w w:val="105"/>
                <w:sz w:val="19"/>
              </w:rPr>
              <w:t>for a noncommercial</w:t>
            </w:r>
            <w:r>
              <w:rPr>
                <w:rFonts w:ascii="Arial"/>
                <w:color w:val="1F1F1F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purpose;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5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color w:val="1F1F1F"/>
                <w:w w:val="105"/>
                <w:sz w:val="19"/>
              </w:rPr>
              <w:t>fee </w:t>
            </w:r>
            <w:r>
              <w:rPr>
                <w:rFonts w:ascii="Arial"/>
                <w:color w:val="1F1F1F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color w:val="1F1F1F"/>
                <w:w w:val="105"/>
                <w:sz w:val="19"/>
              </w:rPr>
              <w:t>other consideration </w:t>
            </w:r>
            <w:r>
              <w:rPr>
                <w:rFonts w:ascii="Arial"/>
                <w:color w:val="1F1F1F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color w:val="1F1F1F"/>
                <w:spacing w:val="-4"/>
                <w:w w:val="105"/>
                <w:sz w:val="19"/>
              </w:rPr>
              <w:t>value</w:t>
            </w:r>
            <w:r>
              <w:rPr>
                <w:rFonts w:ascii="Arial"/>
                <w:color w:val="1F1F1F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is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2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95" w:right="17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charged,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expected</w:t>
            </w:r>
            <w:r>
              <w:rPr>
                <w:rFonts w:ascii="Arial"/>
                <w:color w:val="1F1F1F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or</w:t>
            </w:r>
            <w:r>
              <w:rPr>
                <w:rFonts w:ascii="Arial"/>
                <w:color w:val="1F1F1F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contempl</w:t>
            </w:r>
            <w:r>
              <w:rPr>
                <w:rFonts w:ascii="Arial"/>
                <w:color w:val="1F1F1F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ated,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beyond</w:t>
            </w:r>
            <w:r>
              <w:rPr>
                <w:rFonts w:ascii="Arial"/>
                <w:color w:val="1F1F1F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color w:val="1F1F1F"/>
                <w:spacing w:val="5"/>
                <w:w w:val="105"/>
                <w:sz w:val="19"/>
              </w:rPr>
            </w:r>
            <w:r>
              <w:rPr>
                <w:rFonts w:ascii="Arial"/>
                <w:color w:val="1F1F1F"/>
                <w:w w:val="105"/>
                <w:sz w:val="19"/>
              </w:rPr>
              <w:t>amount necessary to cover the proportionate </w:t>
            </w:r>
            <w:r>
              <w:rPr>
                <w:rFonts w:ascii="Arial"/>
                <w:color w:val="1F1F1F"/>
                <w:w w:val="105"/>
                <w:sz w:val="19"/>
              </w:rPr>
              <w:t>cost of malpractice</w:t>
            </w:r>
            <w:r>
              <w:rPr>
                <w:rFonts w:ascii="Arial"/>
                <w:color w:val="1F1F1F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insurance;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61" w:lineRule="auto" w:before="0" w:after="0"/>
              <w:ind w:left="795" w:right="461" w:hanging="360"/>
              <w:jc w:val="left"/>
              <w:rPr>
                <w:rFonts w:ascii="Arial" w:hAnsi="Arial" w:cs="Arial" w:eastAsia="Arial" w:hint="default"/>
                <w:color w:val="1F1F1F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The </w:t>
            </w:r>
            <w:r>
              <w:rPr>
                <w:rFonts w:ascii="Arial"/>
                <w:color w:val="1F1F1F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does not </w:t>
            </w:r>
            <w:r>
              <w:rPr>
                <w:rFonts w:ascii="Arial"/>
                <w:color w:val="1F1F1F"/>
                <w:w w:val="105"/>
                <w:sz w:val="19"/>
              </w:rPr>
              <w:t>otherwise engage in </w:t>
            </w:r>
            <w:r>
              <w:rPr>
                <w:rFonts w:ascii="Arial"/>
                <w:color w:val="1F1F1F"/>
                <w:w w:val="105"/>
                <w:sz w:val="19"/>
              </w:rPr>
              <w:t>unlawful </w:t>
            </w:r>
            <w:r>
              <w:rPr>
                <w:rFonts w:ascii="Arial"/>
                <w:color w:val="1F1F1F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color w:val="1F1F1F"/>
                <w:w w:val="105"/>
                <w:sz w:val="19"/>
              </w:rPr>
              <w:t>unprofessional</w:t>
            </w:r>
            <w:r>
              <w:rPr>
                <w:rFonts w:ascii="Arial"/>
                <w:color w:val="1F1F1F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conduct</w:t>
            </w:r>
            <w:r>
              <w:rPr>
                <w:rFonts w:ascii="Arial"/>
                <w:w w:val="105"/>
                <w:sz w:val="19"/>
              </w:rPr>
              <w:t>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58-67-305.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5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mental health therapist licensed in another state can provide short </w:t>
            </w:r>
            <w:r>
              <w:rPr>
                <w:rFonts w:ascii="Arial"/>
                <w:spacing w:val="2"/>
                <w:w w:val="105"/>
                <w:sz w:val="19"/>
              </w:rPr>
              <w:t>term </w:t>
            </w:r>
            <w:r>
              <w:rPr>
                <w:rFonts w:ascii="Arial"/>
                <w:w w:val="105"/>
                <w:sz w:val="19"/>
              </w:rPr>
              <w:t>transitional mental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therapy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transitional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disorder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otely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7"/>
                <w:w w:val="105"/>
                <w:sz w:val="19"/>
              </w:rPr>
              <w:t>if: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92" w:lineRule="auto" w:before="0" w:after="0"/>
              <w:ind w:left="795" w:right="46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mental health therapist is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state where </w:t>
            </w:r>
            <w:r>
              <w:rPr>
                <w:rFonts w:ascii="Arial"/>
                <w:spacing w:val="2"/>
                <w:w w:val="105"/>
                <w:sz w:val="19"/>
              </w:rPr>
              <w:t>he/she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92" w:lineRule="auto" w:before="0" w:after="0"/>
              <w:ind w:left="795" w:right="3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ocates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Utah, 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immediat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ely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before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relocation;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76" w:lineRule="auto" w:before="7" w:after="0"/>
              <w:ind w:left="795" w:right="27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therapy or counseling is provided for a maximum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45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days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after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ocates;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88" w:lineRule="auto" w:before="22" w:after="0"/>
              <w:ind w:left="795" w:right="1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Within 10 days of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client’s relocation,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mental health therapist provides a written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notice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Division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Occupational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Licensing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their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intent to provide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therapy/counseling remotely;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76" w:lineRule="auto" w:before="11" w:after="0"/>
              <w:ind w:left="795" w:right="1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mental health therapist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engage in </w:t>
            </w:r>
            <w:r>
              <w:rPr>
                <w:rFonts w:ascii="Arial"/>
                <w:w w:val="105"/>
                <w:sz w:val="19"/>
              </w:rPr>
              <w:t>unlawful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unprofessional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conduct.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2"/>
                <w:w w:val="105"/>
                <w:sz w:val="16"/>
              </w:rPr>
              <w:t>Laws</w:t>
            </w:r>
            <w:r>
              <w:rPr>
                <w:rFonts w:ascii="Arial"/>
                <w:b/>
                <w:i/>
                <w:color w:val="E36C0A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E36C0A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UT.</w:t>
            </w:r>
            <w:r>
              <w:rPr>
                <w:rFonts w:ascii="Arial"/>
                <w:b/>
                <w:i/>
                <w:color w:val="E36C0A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68-61-307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4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Utah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(FSMB)’s model language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interstate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</w:t>
            </w:r>
            <w:r>
              <w:rPr>
                <w:rFonts w:ascii="Arial" w:hAnsi="Arial" w:cs="Arial" w:eastAsia="Arial" w:hint="default"/>
                <w:spacing w:val="-4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121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58-67b-101-125.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Home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4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payment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expense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facility </w:t>
            </w:r>
            <w:r>
              <w:rPr>
                <w:rFonts w:ascii="Arial"/>
                <w:spacing w:val="-3"/>
                <w:w w:val="105"/>
                <w:sz w:val="19"/>
              </w:rPr>
              <w:t>charge.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Utah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Agencies,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5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a hospital participates in telemedicine, it shall develop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impl ement policies governi ng 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accordance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scope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 the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These policies shall address security, access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16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retention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ric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privileging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all health professionals who participate in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R432-100-32.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“practice as a substance use disorder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counselor”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“practice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mental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therapy”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Mental Health Professional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Practice Act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Psychologist Licensing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recently modified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“in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pers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otely”.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Laws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68-60-102.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4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spacing w:val="2"/>
                <w:w w:val="105"/>
                <w:sz w:val="19"/>
              </w:rPr>
              <w:t>order </w:t>
            </w:r>
            <w:r>
              <w:rPr>
                <w:rFonts w:ascii="Arial"/>
                <w:w w:val="105"/>
                <w:sz w:val="19"/>
              </w:rPr>
              <w:t>for a provider to qualify for payment through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Autism Treatment Account, providers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collaborating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existing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networks.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UT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Text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R398-15-3.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pStyle w:val="BodyText"/>
        <w:tabs>
          <w:tab w:pos="1605" w:val="left" w:leader="none"/>
        </w:tabs>
        <w:spacing w:line="240" w:lineRule="auto" w:before="79"/>
        <w:ind w:right="0"/>
        <w:jc w:val="left"/>
      </w:pPr>
      <w:r>
        <w:rPr>
          <w:w w:val="102"/>
        </w:rPr>
      </w:r>
      <w:r>
        <w:rPr>
          <w:spacing w:val="-1"/>
          <w:u w:val="single" w:color="000000"/>
        </w:rPr>
        <w:t>COMMENTS:</w:t>
      </w:r>
      <w:r>
        <w:rPr>
          <w:spacing w:val="-1"/>
        </w:rPr>
        <w:tab/>
      </w:r>
      <w:r>
        <w:rPr>
          <w:spacing w:val="-3"/>
          <w:w w:val="105"/>
        </w:rPr>
        <w:t>During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2015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legislative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session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Utah</w:t>
      </w:r>
      <w:r>
        <w:rPr>
          <w:spacing w:val="-23"/>
          <w:w w:val="105"/>
        </w:rPr>
        <w:t> </w:t>
      </w:r>
      <w:r>
        <w:rPr>
          <w:w w:val="105"/>
        </w:rPr>
        <w:t>Education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Telehealth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Network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was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appropriated</w:t>
      </w:r>
      <w:r>
        <w:rPr/>
      </w:r>
    </w:p>
    <w:p>
      <w:pPr>
        <w:pStyle w:val="BodyText"/>
        <w:spacing w:line="240" w:lineRule="auto"/>
        <w:ind w:left="1560" w:right="0"/>
        <w:jc w:val="left"/>
      </w:pPr>
      <w:r>
        <w:rPr>
          <w:w w:val="105"/>
        </w:rPr>
        <w:t>$2,000,000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one</w:t>
      </w:r>
      <w:r>
        <w:rPr>
          <w:spacing w:val="-13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funding.</w:t>
      </w:r>
      <w:r>
        <w:rPr/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6"/>
          <w:szCs w:val="16"/>
        </w:rPr>
      </w:pPr>
    </w:p>
    <w:p>
      <w:pPr>
        <w:spacing w:before="0"/>
        <w:ind w:left="1560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UT</w:t>
      </w:r>
      <w:r>
        <w:rPr>
          <w:rFonts w:ascii="Arial"/>
          <w:b/>
          <w:i/>
          <w:color w:val="F47B20"/>
          <w:spacing w:val="-8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Senate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Bill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243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(2015).</w:t>
      </w:r>
      <w:r>
        <w:rPr>
          <w:rFonts w:ascii="Arial"/>
          <w:spacing w:val="-3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04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024" type="#_x0000_t202" filled="false" stroked="false">
          <v:textbox inset="0,0,0,0">
            <w:txbxContent>
              <w:p>
                <w:pPr>
                  <w:pStyle w:val="BodyText"/>
                  <w:spacing w:line="218" w:lineRule="exact" w:before="0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09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color w:val="1F1F1F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1"/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hyperlink" Target="http://www.health.utah.gov/medicaid/manuals/pdfs/Medicaid%20Provider%20Manuals/Home%20Health%20Agency/HomeHealth10-13.pdf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2016-05-07T01:17:27Z</dcterms:created>
  <dcterms:modified xsi:type="dcterms:W3CDTF">2016-05-07T01:17:27Z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