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1026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4"/>
          <w:sz w:val="36"/>
        </w:rPr>
        <w:t>Colorado</w:t>
      </w:r>
      <w:r>
        <w:rPr>
          <w:rFonts w:ascii="Arial"/>
          <w:spacing w:val="-4"/>
          <w:sz w:val="36"/>
        </w:rPr>
      </w:r>
    </w:p>
    <w:p>
      <w:pPr>
        <w:spacing w:before="315"/>
        <w:ind w:left="120" w:right="1026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Colorado</w:t>
      </w:r>
      <w:r>
        <w:rPr>
          <w:rFonts w:ascii="Arial"/>
          <w:spacing w:val="13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1026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 </w:t>
      </w:r>
      <w:r>
        <w:rPr>
          <w:rFonts w:ascii="Arial"/>
          <w:w w:val="105"/>
          <w:sz w:val="19"/>
        </w:rPr>
        <w:t>Colorado Dept. of Health Care Policy and</w:t>
      </w:r>
      <w:r>
        <w:rPr>
          <w:rFonts w:ascii="Arial"/>
          <w:spacing w:val="-31"/>
          <w:w w:val="105"/>
          <w:sz w:val="19"/>
        </w:rPr>
        <w:t> </w:t>
      </w:r>
      <w:r>
        <w:rPr>
          <w:rFonts w:ascii="Arial"/>
          <w:w w:val="105"/>
          <w:sz w:val="19"/>
        </w:rPr>
        <w:t>Financing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20" w:right="6868" w:hanging="1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8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Southwest Telehealth Resource </w:t>
      </w:r>
      <w:r>
        <w:rPr>
          <w:rFonts w:ascii="Arial"/>
          <w:spacing w:val="2"/>
          <w:w w:val="105"/>
          <w:sz w:val="19"/>
        </w:rPr>
        <w:t>Center </w:t>
      </w:r>
      <w:r>
        <w:rPr>
          <w:rFonts w:ascii="Arial"/>
          <w:spacing w:val="2"/>
          <w:w w:val="105"/>
          <w:sz w:val="19"/>
        </w:rPr>
      </w:r>
      <w:r>
        <w:rPr>
          <w:rFonts w:ascii="Arial"/>
          <w:w w:val="105"/>
          <w:sz w:val="19"/>
        </w:rPr>
        <w:t>PO Box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w w:val="105"/>
          <w:sz w:val="19"/>
        </w:rPr>
        <w:t>245105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1026"/>
        <w:jc w:val="left"/>
      </w:pPr>
      <w:r>
        <w:rPr>
          <w:w w:val="105"/>
        </w:rPr>
        <w:t>Tucson, AZ</w:t>
      </w:r>
      <w:r>
        <w:rPr>
          <w:spacing w:val="-18"/>
          <w:w w:val="105"/>
        </w:rPr>
        <w:t> </w:t>
      </w:r>
      <w:r>
        <w:rPr>
          <w:w w:val="105"/>
        </w:rPr>
        <w:t>85724</w:t>
      </w:r>
      <w:r>
        <w:rPr/>
      </w:r>
    </w:p>
    <w:p>
      <w:pPr>
        <w:pStyle w:val="BodyText"/>
        <w:spacing w:line="240" w:lineRule="auto" w:before="6"/>
        <w:ind w:right="1026"/>
        <w:jc w:val="left"/>
      </w:pPr>
      <w:r>
        <w:rPr>
          <w:w w:val="105"/>
        </w:rPr>
        <w:t>(520)</w:t>
      </w:r>
      <w:r>
        <w:rPr>
          <w:spacing w:val="-21"/>
          <w:w w:val="105"/>
        </w:rPr>
        <w:t> </w:t>
      </w:r>
      <w:r>
        <w:rPr>
          <w:w w:val="105"/>
        </w:rPr>
        <w:t>626-4498</w:t>
      </w:r>
      <w:r>
        <w:rPr/>
      </w:r>
    </w:p>
    <w:p>
      <w:pPr>
        <w:pStyle w:val="BodyText"/>
        <w:spacing w:line="240" w:lineRule="auto" w:before="21"/>
        <w:ind w:right="1026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www.southwesttrc.org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1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33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means the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edical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any diagnosis, consultation, or treatment using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audio, interactive video, or interactive data communication.”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12-36-102.5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Effective on or after Jan. 1,</w:t>
            </w:r>
            <w:r>
              <w:rPr>
                <w:rFonts w:ascii="Arial"/>
                <w:b/>
                <w:spacing w:val="-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9"/>
                <w:u w:val="single" w:color="000000"/>
              </w:rPr>
              <w:t>2017</w:t>
            </w:r>
            <w:r>
              <w:rPr>
                <w:rFonts w:ascii="Arial"/>
                <w:b/>
                <w:spacing w:val="-4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4" w:right="7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 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eans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mode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telecomm</w:t>
            </w:r>
            <w:r>
              <w:rPr>
                <w:rFonts w:ascii="Arial" w:hAnsi="Arial" w:cs="Arial" w:eastAsia="Arial" w:hint="default"/>
                <w:spacing w:val="-4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unications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systems,</w:t>
            </w:r>
            <w:r>
              <w:rPr>
                <w:rFonts w:ascii="Arial" w:hAnsi="Arial" w:cs="Arial" w:eastAsia="Arial" w:hint="default"/>
                <w:spacing w:val="-2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information, electronic,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 unication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technologies, to facilitate the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assessment,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diagnosis,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consultation, treatment, education,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management,</w:t>
            </w:r>
            <w:r>
              <w:rPr>
                <w:rFonts w:ascii="Arial" w:hAnsi="Arial" w:cs="Arial" w:eastAsia="Arial" w:hint="default"/>
                <w:spacing w:val="-2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self-m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anagement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covered person’s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while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covered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person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located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an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originating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 is located at a distant site. 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term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includes synchronous interactions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store-and-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forward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fers.</w:t>
            </w:r>
            <w:r>
              <w:rPr>
                <w:rFonts w:ascii="Arial" w:hAnsi="Arial" w:cs="Arial" w:eastAsia="Arial" w:hint="default"/>
                <w:spacing w:val="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does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7" w:lineRule="auto" w:before="11"/>
              <w:ind w:left="75" w:right="1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delivery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telephone,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facsimile </w:t>
            </w:r>
            <w:r>
              <w:rPr>
                <w:rFonts w:ascii="Arial"/>
                <w:w w:val="105"/>
                <w:sz w:val="19"/>
              </w:rPr>
              <w:t>machine or electronic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10-16-123(2)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(h)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(4)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(e)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(I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II)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b/>
                <w:bCs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sz w:val="19"/>
                <w:szCs w:val="19"/>
                <w:u w:val="single" w:color="000000"/>
              </w:rPr>
              <w:t>Workers’ </w:t>
            </w:r>
            <w:r>
              <w:rPr>
                <w:rFonts w:ascii="Arial" w:hAnsi="Arial" w:cs="Arial" w:eastAsia="Arial" w:hint="default"/>
                <w:b/>
                <w:bCs/>
                <w:spacing w:val="21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sz w:val="19"/>
                <w:szCs w:val="19"/>
                <w:u w:val="single" w:color="000000"/>
              </w:rPr>
              <w:t>Compensation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2"/>
                <w:sz w:val="19"/>
                <w:szCs w:val="19"/>
              </w:rPr>
            </w:r>
          </w:p>
          <w:p>
            <w:pPr>
              <w:pStyle w:val="TableParagraph"/>
              <w:spacing w:line="252" w:lineRule="auto" w:before="6"/>
              <w:ind w:left="75" w:right="16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is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inform 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exchanged from one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another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communications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improve,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mai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ntain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assist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patients’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status.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2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Closely associated with telemedicine is the term "telehealth", which is often used to </w:t>
            </w:r>
            <w:r>
              <w:rPr>
                <w:rFonts w:ascii="Arial"/>
                <w:spacing w:val="2"/>
                <w:w w:val="105"/>
                <w:sz w:val="19"/>
              </w:rPr>
              <w:t>encompass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broader definition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remote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that does </w:t>
            </w:r>
            <w:r>
              <w:rPr>
                <w:rFonts w:ascii="Arial"/>
                <w:spacing w:val="-4"/>
                <w:w w:val="105"/>
                <w:sz w:val="19"/>
              </w:rPr>
              <w:t>not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always involve clinical services. Videoconferencing, </w:t>
            </w:r>
            <w:r>
              <w:rPr>
                <w:rFonts w:ascii="Arial"/>
                <w:w w:val="105"/>
                <w:sz w:val="19"/>
              </w:rPr>
              <w:t>transmission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still images, e-health including patient </w:t>
            </w:r>
            <w:r>
              <w:rPr>
                <w:rFonts w:ascii="Arial"/>
                <w:w w:val="105"/>
                <w:sz w:val="19"/>
              </w:rPr>
              <w:t>portals, </w:t>
            </w:r>
            <w:r>
              <w:rPr>
                <w:rFonts w:ascii="Arial"/>
                <w:spacing w:val="-3"/>
                <w:w w:val="105"/>
                <w:sz w:val="19"/>
              </w:rPr>
              <w:t>rem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ote monitoring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-5"/>
                <w:w w:val="105"/>
                <w:sz w:val="19"/>
              </w:rPr>
              <w:t>vital </w:t>
            </w:r>
            <w:r>
              <w:rPr>
                <w:rFonts w:ascii="Arial"/>
                <w:w w:val="105"/>
                <w:sz w:val="19"/>
              </w:rPr>
              <w:t>signs and continuing </w:t>
            </w:r>
            <w:r>
              <w:rPr>
                <w:rFonts w:ascii="Arial"/>
                <w:w w:val="105"/>
                <w:sz w:val="19"/>
              </w:rPr>
              <w:t>medical education are all considered part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telemedicine and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18.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1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 services include the installation and</w:t>
            </w:r>
            <w:r>
              <w:rPr>
                <w:rFonts w:ascii="Arial" w:hAnsi="Arial" w:cs="Arial" w:eastAsia="Arial" w:hint="default"/>
                <w:spacing w:val="-3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on-going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remot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 monitoring of clinical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data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 technol ogic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equi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pment in order to detect minute changes in 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client’s clinical status that will allow Home Health agencies to intercede before a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chronic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illness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exacerbates requiring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emergency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intervention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inpatient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hospitalization.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34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Home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Billing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(Sept.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</w:tbl>
    <w:p>
      <w:pPr>
        <w:spacing w:after="0" w:line="180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2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64" w:lineRule="auto"/>
              <w:ind w:left="75" w:right="45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 Approved Regulation (Effective June 1, 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2016)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"Tel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ehealth”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eans a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mode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52" w:lineRule="auto" w:before="6"/>
              <w:ind w:left="75" w:right="19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telecomm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unication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systems,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including </w:t>
            </w:r>
            <w:r>
              <w:rPr>
                <w:rFonts w:ascii="Arial"/>
                <w:w w:val="105"/>
                <w:sz w:val="19"/>
              </w:rPr>
              <w:t>information, electronic,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comm unication </w:t>
            </w:r>
            <w:r>
              <w:rPr>
                <w:rFonts w:ascii="Arial"/>
                <w:w w:val="105"/>
                <w:sz w:val="19"/>
              </w:rPr>
              <w:t>technologies, to facilitate the </w:t>
            </w:r>
            <w:r>
              <w:rPr>
                <w:rFonts w:ascii="Arial"/>
                <w:spacing w:val="2"/>
                <w:w w:val="105"/>
                <w:sz w:val="19"/>
              </w:rPr>
              <w:t>assessment, </w:t>
            </w:r>
            <w:r>
              <w:rPr>
                <w:rFonts w:ascii="Arial"/>
                <w:w w:val="105"/>
                <w:sz w:val="19"/>
              </w:rPr>
              <w:t>diagnosis, </w:t>
            </w:r>
            <w:r>
              <w:rPr>
                <w:rFonts w:ascii="Arial"/>
                <w:w w:val="105"/>
                <w:sz w:val="19"/>
              </w:rPr>
              <w:t>consultation, treatment, education and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52" w:lineRule="auto" w:before="11"/>
              <w:ind w:left="75" w:right="17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managem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resident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's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when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resident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practitioner are located at different sites.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includes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‘telem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edicine’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defined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Section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12-36-102.5(8),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C.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R.S.”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1011-1.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2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Healt </w:t>
            </w:r>
            <w:r>
              <w:rPr>
                <w:rFonts w:ascii="Arial"/>
                <w:w w:val="105"/>
                <w:sz w:val="19"/>
              </w:rPr>
              <w:t>h </w:t>
            </w:r>
            <w:r>
              <w:rPr>
                <w:rFonts w:ascii="Arial"/>
                <w:spacing w:val="-3"/>
                <w:w w:val="105"/>
                <w:sz w:val="19"/>
              </w:rPr>
              <w:t>plans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patients in counties with 150,000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fewer residents cannot require face-to-fac e contact </w:t>
            </w:r>
            <w:r>
              <w:rPr>
                <w:rFonts w:ascii="Arial"/>
                <w:w w:val="105"/>
                <w:sz w:val="19"/>
              </w:rPr>
              <w:t>between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could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appropriately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emedicine,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subject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terms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conditions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benefit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72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10-16-123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(also</w:t>
            </w:r>
            <w:r>
              <w:rPr>
                <w:rFonts w:ascii="Arial" w:hAnsi="Arial" w:cs="Arial" w:eastAsia="Arial" w:hint="default"/>
                <w:i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see</w:t>
            </w:r>
            <w:r>
              <w:rPr>
                <w:rFonts w:ascii="Arial" w:hAnsi="Arial" w:cs="Arial" w:eastAsia="Arial" w:hint="default"/>
                <w:i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Medicaid</w:t>
            </w:r>
            <w:r>
              <w:rPr>
                <w:rFonts w:ascii="Arial" w:hAnsi="Arial" w:cs="Arial" w:eastAsia="Arial" w:hint="default"/>
                <w:i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spacing w:val="2"/>
                <w:w w:val="105"/>
                <w:sz w:val="19"/>
                <w:szCs w:val="19"/>
              </w:rPr>
              <w:t>column</w:t>
            </w:r>
            <w:r>
              <w:rPr>
                <w:rFonts w:ascii="Arial" w:hAnsi="Arial" w:cs="Arial" w:eastAsia="Arial" w:hint="default"/>
                <w:i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&amp;</w:t>
            </w:r>
            <w:r>
              <w:rPr>
                <w:rFonts w:ascii="Arial" w:hAnsi="Arial" w:cs="Arial" w:eastAsia="Arial" w:hint="default"/>
                <w:i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“Private</w:t>
            </w:r>
            <w:r>
              <w:rPr>
                <w:rFonts w:ascii="Arial" w:hAnsi="Arial" w:cs="Arial" w:eastAsia="Arial" w:hint="default"/>
                <w:i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spacing w:val="2"/>
                <w:w w:val="105"/>
                <w:sz w:val="19"/>
                <w:szCs w:val="19"/>
              </w:rPr>
              <w:t>Payers”</w:t>
            </w:r>
            <w:r>
              <w:rPr>
                <w:rFonts w:ascii="Arial" w:hAnsi="Arial" w:cs="Arial" w:eastAsia="Arial" w:hint="default"/>
                <w:i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section)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Effective Jan. 1,</w:t>
            </w:r>
            <w:r>
              <w:rPr>
                <w:rFonts w:ascii="Arial"/>
                <w:b/>
                <w:spacing w:val="-9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2017: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8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health benefit plan that is issued, amended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renewed shall not require in-person contact </w:t>
            </w:r>
            <w:r>
              <w:rPr>
                <w:rFonts w:ascii="Arial"/>
                <w:spacing w:val="-3"/>
                <w:w w:val="105"/>
                <w:sz w:val="19"/>
              </w:rPr>
              <w:t>bet </w:t>
            </w:r>
            <w:r>
              <w:rPr>
                <w:rFonts w:ascii="Arial"/>
                <w:w w:val="105"/>
                <w:sz w:val="19"/>
              </w:rPr>
              <w:t>ween a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covered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pers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appropriately </w:t>
            </w:r>
            <w:r>
              <w:rPr>
                <w:rFonts w:ascii="Arial"/>
                <w:w w:val="105"/>
                <w:sz w:val="19"/>
              </w:rPr>
              <w:t>provided through telehealth, subject to the terms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conditions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72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10-16-123(2)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(a)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49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Colorado Medicaid will </w:t>
            </w: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w w:val="105"/>
                <w:sz w:val="19"/>
              </w:rPr>
              <w:t>burse for medical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mental health services. Services shall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subject to </w:t>
            </w:r>
            <w:r>
              <w:rPr>
                <w:rFonts w:ascii="Arial"/>
                <w:w w:val="105"/>
                <w:sz w:val="19"/>
              </w:rPr>
              <w:t>reimbursem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policies developed by the medical </w:t>
            </w:r>
            <w:r>
              <w:rPr>
                <w:rFonts w:ascii="Arial"/>
                <w:w w:val="105"/>
                <w:sz w:val="19"/>
              </w:rPr>
              <w:t>assistance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8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25.5-5-320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(2012).Dec.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8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services must be provided “live”.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 and the distant provider interact with one another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real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 through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an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audio-video comm unications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circuit. Peripherals may be included, such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transmission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live ultrasound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exam.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20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Assi</w:t>
            </w:r>
            <w:r>
              <w:rPr>
                <w:rFonts w:ascii="Arial"/>
                <w:b/>
                <w:i/>
                <w:color w:val="F47B20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stance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TelemedicineManual,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(Dec.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54" w:lineRule="auto" w:before="115"/>
              <w:ind w:left="75" w:right="263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Colorado Medicaid does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pay for provider or patient </w:t>
            </w:r>
            <w:r>
              <w:rPr>
                <w:rFonts w:ascii="Arial"/>
                <w:w w:val="105"/>
                <w:sz w:val="19"/>
              </w:rPr>
              <w:t>education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when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educ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only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via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113"/>
              <w:ind w:left="75" w:right="18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enrolled </w:t>
            </w:r>
            <w:r>
              <w:rPr>
                <w:rFonts w:ascii="Arial"/>
                <w:spacing w:val="3"/>
                <w:w w:val="105"/>
                <w:sz w:val="19"/>
              </w:rPr>
              <w:t>managed </w:t>
            </w:r>
            <w:r>
              <w:rPr>
                <w:rFonts w:ascii="Arial"/>
                <w:w w:val="105"/>
                <w:sz w:val="19"/>
              </w:rPr>
              <w:t>care organization may require </w:t>
            </w:r>
            <w:r>
              <w:rPr>
                <w:rFonts w:ascii="Arial"/>
                <w:w w:val="105"/>
                <w:sz w:val="19"/>
              </w:rPr>
              <w:t>face-to-face </w:t>
            </w:r>
            <w:r>
              <w:rPr>
                <w:rFonts w:ascii="Arial"/>
                <w:spacing w:val="2"/>
                <w:w w:val="105"/>
                <w:sz w:val="19"/>
              </w:rPr>
              <w:t>contact </w:t>
            </w:r>
            <w:r>
              <w:rPr>
                <w:rFonts w:ascii="Arial"/>
                <w:w w:val="105"/>
                <w:sz w:val="19"/>
              </w:rPr>
              <w:t>between a provider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a </w:t>
            </w:r>
            <w:r>
              <w:rPr>
                <w:rFonts w:ascii="Arial"/>
                <w:spacing w:val="2"/>
                <w:w w:val="105"/>
                <w:sz w:val="19"/>
              </w:rPr>
              <w:t>client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services appropriately provided through telemedicine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if: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116" w:after="0"/>
              <w:ind w:left="795" w:right="205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client resides in a county with a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population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of 150,000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fewer residents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19" w:after="0"/>
              <w:ind w:left="795" w:right="42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county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w w:val="105"/>
                <w:sz w:val="19"/>
              </w:rPr>
              <w:t>the technol </w:t>
            </w:r>
            <w:r>
              <w:rPr>
                <w:rFonts w:ascii="Arial"/>
                <w:spacing w:val="-3"/>
                <w:w w:val="105"/>
                <w:sz w:val="19"/>
              </w:rPr>
              <w:t>ogy </w:t>
            </w:r>
            <w:r>
              <w:rPr>
                <w:rFonts w:ascii="Arial"/>
                <w:w w:val="105"/>
                <w:sz w:val="19"/>
              </w:rPr>
              <w:t>necessary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provide telemedicine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122"/>
              <w:ind w:left="75" w:right="20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w w:val="105"/>
                <w:sz w:val="19"/>
              </w:rPr>
              <w:t> required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when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in-person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care by a participating provider is available to </w:t>
            </w:r>
            <w:r>
              <w:rPr>
                <w:rFonts w:ascii="Arial"/>
                <w:spacing w:val="-4"/>
                <w:w w:val="105"/>
                <w:sz w:val="19"/>
              </w:rPr>
              <w:t>an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enrolled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client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within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reasonable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113"/>
              <w:ind w:left="75" w:right="23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can bill for assisting the distant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provider with an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5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anual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specific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billing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instructions.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8"/>
                <w:szCs w:val="28"/>
              </w:rPr>
            </w:pPr>
          </w:p>
          <w:p>
            <w:pPr>
              <w:pStyle w:val="TableParagraph"/>
              <w:spacing w:line="180" w:lineRule="exact"/>
              <w:ind w:left="75" w:right="20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Assi</w:t>
            </w:r>
            <w:r>
              <w:rPr>
                <w:rFonts w:ascii="Arial"/>
                <w:b/>
                <w:i/>
                <w:color w:val="F47B20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stance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TelemedicineManual,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2-6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(Dec.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2015),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Jul.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</w:tbl>
    <w:p>
      <w:pPr>
        <w:spacing w:after="0" w:line="180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6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78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reimbursem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based upon definition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“telemedicine” which describes telemedicine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“interactive” implying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that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it happens in real</w:t>
            </w:r>
            <w:r>
              <w:rPr>
                <w:rFonts w:ascii="Arial" w:hAnsi="Arial" w:cs="Arial" w:eastAsia="Arial" w:hint="default"/>
                <w:spacing w:val="-3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12-36-102.5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Effective Jan. 1,</w:t>
            </w:r>
            <w:r>
              <w:rPr>
                <w:rFonts w:ascii="Arial"/>
                <w:b/>
                <w:spacing w:val="-9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2017: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4" w:right="8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health benefit plan that is issued, amended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renewed shall not require in-person contact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bet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ween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covered</w:t>
            </w:r>
            <w:r>
              <w:rPr>
                <w:rFonts w:ascii="Arial" w:hAnsi="Arial" w:cs="Arial" w:eastAsia="Arial" w:hint="default"/>
                <w:spacing w:val="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pers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on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appropriately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provided through telehealth, subject to the terms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conditions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an.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Reimbursem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based upon 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definition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2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“t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elehealth”.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71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10-16-123(2)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(a)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105" w:right="35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CO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Assistance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Program will only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reimburse for “live” telemedicine, excluding store and forward. Peripherals, such as transmission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live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ultrasound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</w:t>
            </w:r>
            <w:r>
              <w:rPr>
                <w:rFonts w:ascii="Arial" w:hAnsi="Arial" w:cs="Arial" w:eastAsia="Arial" w:hint="default"/>
                <w:spacing w:val="-4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am,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may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reim</w:t>
            </w:r>
            <w:r>
              <w:rPr>
                <w:rFonts w:ascii="Arial" w:hAnsi="Arial" w:cs="Arial" w:eastAsia="Arial" w:hint="default"/>
                <w:spacing w:val="-4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bursed.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105" w:right="17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TelemedicineManual,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(Dec.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Jul.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85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21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CO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Assistance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Rem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ote Patient Monitoring at a flat fee set by the state </w:t>
            </w:r>
            <w:r>
              <w:rPr>
                <w:rFonts w:ascii="Arial"/>
                <w:w w:val="105"/>
                <w:sz w:val="19"/>
              </w:rPr>
              <w:t>board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when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these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met: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52" w:lineRule="auto" w:before="0" w:after="0"/>
              <w:ind w:left="795" w:right="217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patient is recei </w:t>
            </w:r>
            <w:r>
              <w:rPr>
                <w:rFonts w:ascii="Arial"/>
                <w:spacing w:val="-3"/>
                <w:w w:val="105"/>
                <w:sz w:val="19"/>
              </w:rPr>
              <w:t>ving </w:t>
            </w:r>
            <w:r>
              <w:rPr>
                <w:rFonts w:ascii="Arial"/>
                <w:w w:val="105"/>
                <w:sz w:val="19"/>
              </w:rPr>
              <w:t>services from a home </w:t>
            </w:r>
            <w:r>
              <w:rPr>
                <w:rFonts w:ascii="Arial"/>
                <w:w w:val="105"/>
                <w:sz w:val="19"/>
              </w:rPr>
              <w:t>health provider for at least </w:t>
            </w:r>
            <w:r>
              <w:rPr>
                <w:rFonts w:ascii="Arial"/>
                <w:spacing w:val="-3"/>
                <w:w w:val="105"/>
                <w:sz w:val="19"/>
              </w:rPr>
              <w:t>one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following: </w:t>
            </w:r>
            <w:r>
              <w:rPr>
                <w:rFonts w:ascii="Arial"/>
                <w:w w:val="105"/>
                <w:sz w:val="19"/>
              </w:rPr>
              <w:t>congestive heart failure, chronic obstructive pulmonary disease, asthma, or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diabetes;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54" w:lineRule="auto" w:before="0" w:after="0"/>
              <w:ind w:left="795" w:right="7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patient requires monitoring at least five times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weekly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ease,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ordered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podiat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rist;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54" w:lineRule="auto" w:before="0" w:after="0"/>
              <w:ind w:left="795" w:right="7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patient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w w:val="105"/>
                <w:sz w:val="19"/>
              </w:rPr>
              <w:t>been hospitalized </w:t>
            </w:r>
            <w:r>
              <w:rPr>
                <w:rFonts w:ascii="Arial"/>
                <w:spacing w:val="4"/>
                <w:w w:val="105"/>
                <w:sz w:val="19"/>
              </w:rPr>
              <w:t>two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more </w:t>
            </w:r>
            <w:r>
              <w:rPr>
                <w:rFonts w:ascii="Arial"/>
                <w:w w:val="105"/>
                <w:sz w:val="19"/>
              </w:rPr>
              <w:t>times in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last 12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months 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conditions </w:t>
            </w:r>
            <w:r>
              <w:rPr>
                <w:rFonts w:ascii="Arial"/>
                <w:spacing w:val="-3"/>
                <w:w w:val="105"/>
                <w:sz w:val="19"/>
              </w:rPr>
              <w:t>rel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ated </w:t>
            </w:r>
            <w:r>
              <w:rPr>
                <w:rFonts w:ascii="Arial"/>
                <w:w w:val="105"/>
                <w:sz w:val="19"/>
              </w:rPr>
              <w:t>to the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disease;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0" w:after="0"/>
              <w:ind w:left="795" w:right="34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patient or </w:t>
            </w:r>
            <w:r>
              <w:rPr>
                <w:rFonts w:ascii="Arial"/>
                <w:spacing w:val="2"/>
                <w:w w:val="105"/>
                <w:sz w:val="19"/>
              </w:rPr>
              <w:t>caregiver </w:t>
            </w:r>
            <w:r>
              <w:rPr>
                <w:rFonts w:ascii="Arial"/>
                <w:w w:val="105"/>
                <w:sz w:val="19"/>
              </w:rPr>
              <w:t>misses no more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2"/>
                <w:w w:val="105"/>
                <w:sz w:val="19"/>
              </w:rPr>
              <w:t>than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five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oring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events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30-day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period;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61" w:lineRule="auto" w:before="4" w:after="0"/>
              <w:ind w:left="795" w:right="34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patient’s home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has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space for all program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equi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pment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full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transmission</w:t>
            </w:r>
            <w:r>
              <w:rPr>
                <w:rFonts w:ascii="Arial" w:hAnsi="Arial" w:cs="Arial" w:eastAsia="Arial" w:hint="default"/>
                <w:spacing w:val="-1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capability.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485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(Reimbursement):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25.5-5-321.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(Requirements):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Regulation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2505-10.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75" w:right="48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Additional restrictions apply. See Colorado </w:t>
            </w:r>
            <w:r>
              <w:rPr>
                <w:rFonts w:ascii="Arial"/>
                <w:spacing w:val="3"/>
                <w:w w:val="105"/>
                <w:sz w:val="19"/>
              </w:rPr>
              <w:t>Code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Regulations for more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75" w:right="10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Medicaid </w:t>
            </w:r>
            <w:r>
              <w:rPr>
                <w:rFonts w:ascii="Arial"/>
                <w:spacing w:val="-4"/>
                <w:w w:val="105"/>
                <w:sz w:val="19"/>
              </w:rPr>
              <w:t>Hom </w:t>
            </w:r>
            <w:r>
              <w:rPr>
                <w:rFonts w:ascii="Arial"/>
                <w:w w:val="105"/>
                <w:sz w:val="19"/>
              </w:rPr>
              <w:t>e Health will reimburse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services only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if </w:t>
            </w:r>
            <w:r>
              <w:rPr>
                <w:rFonts w:ascii="Arial"/>
                <w:w w:val="105"/>
                <w:sz w:val="19"/>
              </w:rPr>
              <w:t>the patient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w w:val="105"/>
                <w:sz w:val="19"/>
              </w:rPr>
              <w:t>no other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insurance.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Regulation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2505-10.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5" w:right="6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reimburses telehealth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onitoring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qualified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clients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(see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above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ents).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4" w:right="11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Acute home health agencies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long-term home health </w:t>
            </w:r>
            <w:r>
              <w:rPr>
                <w:rFonts w:ascii="Arial"/>
                <w:w w:val="105"/>
                <w:sz w:val="19"/>
              </w:rPr>
              <w:t>agencies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reimbursed for the initial installation and </w:t>
            </w:r>
            <w:r>
              <w:rPr>
                <w:rFonts w:ascii="Arial"/>
                <w:w w:val="105"/>
                <w:sz w:val="19"/>
              </w:rPr>
              <w:t>education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telehealth monitoring equi pment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can </w:t>
            </w:r>
            <w:r>
              <w:rPr>
                <w:rFonts w:ascii="Arial"/>
                <w:w w:val="105"/>
                <w:sz w:val="19"/>
              </w:rPr>
              <w:t>be billed once per client per </w:t>
            </w:r>
            <w:r>
              <w:rPr>
                <w:rFonts w:ascii="Arial"/>
                <w:spacing w:val="3"/>
                <w:w w:val="105"/>
                <w:sz w:val="19"/>
              </w:rPr>
              <w:t>agency. </w:t>
            </w:r>
            <w:r>
              <w:rPr>
                <w:rFonts w:ascii="Arial"/>
                <w:spacing w:val="-7"/>
                <w:w w:val="105"/>
                <w:sz w:val="19"/>
              </w:rPr>
              <w:t>The </w:t>
            </w:r>
            <w:r>
              <w:rPr>
                <w:rFonts w:ascii="Arial"/>
                <w:spacing w:val="3"/>
                <w:w w:val="105"/>
                <w:sz w:val="19"/>
              </w:rPr>
              <w:t>agency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can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52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71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also bill for every day they receive and review</w:t>
            </w:r>
            <w:r>
              <w:rPr>
                <w:rFonts w:ascii="Arial" w:hAnsi="Arial" w:cs="Arial" w:eastAsia="Arial" w:hint="default"/>
                <w:spacing w:val="-2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client’s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clinical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inform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ation.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38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prior authorization needed, </w:t>
            </w:r>
            <w:r>
              <w:rPr>
                <w:rFonts w:ascii="Arial"/>
                <w:spacing w:val="-3"/>
                <w:w w:val="105"/>
                <w:sz w:val="19"/>
              </w:rPr>
              <w:t>but </w:t>
            </w:r>
            <w:r>
              <w:rPr>
                <w:rFonts w:ascii="Arial"/>
                <w:w w:val="105"/>
                <w:sz w:val="19"/>
              </w:rPr>
              <w:t>agencies should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notify </w:t>
            </w:r>
            <w:r>
              <w:rPr>
                <w:rFonts w:ascii="Arial"/>
                <w:w w:val="105"/>
                <w:sz w:val="19"/>
              </w:rPr>
              <w:t>the Department or its designee </w:t>
            </w:r>
            <w:r>
              <w:rPr>
                <w:rFonts w:ascii="Arial"/>
                <w:spacing w:val="3"/>
                <w:w w:val="105"/>
                <w:sz w:val="19"/>
              </w:rPr>
              <w:t>when </w:t>
            </w:r>
            <w:r>
              <w:rPr>
                <w:rFonts w:ascii="Arial"/>
                <w:w w:val="105"/>
                <w:sz w:val="19"/>
              </w:rPr>
              <w:t>a client is </w:t>
            </w:r>
            <w:r>
              <w:rPr>
                <w:rFonts w:ascii="Arial"/>
                <w:w w:val="105"/>
                <w:sz w:val="19"/>
              </w:rPr>
              <w:t>enrolled </w:t>
            </w:r>
            <w:r>
              <w:rPr>
                <w:rFonts w:ascii="Arial"/>
                <w:spacing w:val="7"/>
                <w:w w:val="105"/>
                <w:sz w:val="19"/>
              </w:rPr>
              <w:t>in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service.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34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Home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Billing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11-12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(Sept.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10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38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payers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anaged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system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not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required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6"/>
                <w:w w:val="105"/>
                <w:sz w:val="19"/>
              </w:rPr>
              <w:t>FAX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4" w:right="334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10-16-123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Colorado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z w:val="16"/>
              </w:rPr>
              <w:t>Statutes 25.5-5-414</w:t>
            </w:r>
            <w:r>
              <w:rPr>
                <w:rFonts w:ascii="Arial"/>
                <w:b/>
                <w:i/>
                <w:color w:val="F47B20"/>
                <w:spacing w:val="3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Effective on or after Jan. 1,</w:t>
            </w:r>
            <w:r>
              <w:rPr>
                <w:rFonts w:ascii="Arial"/>
                <w:b/>
                <w:spacing w:val="-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9"/>
                <w:u w:val="single" w:color="000000"/>
              </w:rPr>
              <w:t>2017</w:t>
            </w:r>
            <w:r>
              <w:rPr>
                <w:rFonts w:ascii="Arial"/>
                <w:b/>
                <w:spacing w:val="-4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261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does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include the delivery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telephone, facsimile machine or electronic </w:t>
            </w:r>
            <w:r>
              <w:rPr>
                <w:rFonts w:ascii="Arial"/>
                <w:w w:val="105"/>
                <w:sz w:val="19"/>
              </w:rPr>
              <w:t>mail.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10-16-123(2)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(h)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(4)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(e)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(II)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16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0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TelemedicineManual,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(Dec.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4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76"/>
              <w:ind w:left="149" w:right="7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Pharm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acists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prohibited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dispensing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prescription </w:t>
            </w:r>
            <w:r>
              <w:rPr>
                <w:rFonts w:ascii="Arial"/>
                <w:w w:val="105"/>
                <w:sz w:val="19"/>
              </w:rPr>
              <w:t>drugs if they know, or should have </w:t>
            </w:r>
            <w:r>
              <w:rPr>
                <w:rFonts w:ascii="Arial"/>
                <w:spacing w:val="2"/>
                <w:w w:val="105"/>
                <w:sz w:val="19"/>
              </w:rPr>
              <w:t>known, </w:t>
            </w:r>
            <w:r>
              <w:rPr>
                <w:rFonts w:ascii="Arial"/>
                <w:w w:val="105"/>
                <w:sz w:val="19"/>
              </w:rPr>
              <w:t>that it </w:t>
            </w:r>
            <w:r>
              <w:rPr>
                <w:rFonts w:ascii="Arial"/>
                <w:spacing w:val="-5"/>
                <w:w w:val="105"/>
                <w:sz w:val="19"/>
              </w:rPr>
              <w:t>was </w:t>
            </w:r>
            <w:r>
              <w:rPr>
                <w:rFonts w:ascii="Arial"/>
                <w:spacing w:val="-5"/>
                <w:w w:val="105"/>
                <w:sz w:val="19"/>
              </w:rPr>
            </w:r>
            <w:r>
              <w:rPr>
                <w:rFonts w:ascii="Arial"/>
                <w:spacing w:val="-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on the </w:t>
            </w:r>
            <w:r>
              <w:rPr>
                <w:rFonts w:ascii="Arial"/>
                <w:spacing w:val="2"/>
                <w:w w:val="105"/>
                <w:sz w:val="19"/>
              </w:rPr>
              <w:t>basis </w:t>
            </w:r>
            <w:r>
              <w:rPr>
                <w:rFonts w:ascii="Arial"/>
                <w:w w:val="105"/>
                <w:sz w:val="19"/>
              </w:rPr>
              <w:t>of an int ernet-based questionnaire, </w:t>
            </w:r>
            <w:r>
              <w:rPr>
                <w:rFonts w:ascii="Arial"/>
                <w:spacing w:val="-4"/>
                <w:w w:val="105"/>
                <w:sz w:val="19"/>
              </w:rPr>
              <w:t>an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Internet-based consult, or a tel ephone consultation, all </w:t>
            </w:r>
            <w:r>
              <w:rPr>
                <w:rFonts w:ascii="Arial"/>
                <w:w w:val="105"/>
                <w:sz w:val="19"/>
              </w:rPr>
              <w:t>without a </w:t>
            </w:r>
            <w:r>
              <w:rPr>
                <w:rFonts w:ascii="Arial"/>
                <w:spacing w:val="-3"/>
                <w:w w:val="105"/>
                <w:sz w:val="19"/>
              </w:rPr>
              <w:t>valid </w:t>
            </w:r>
            <w:r>
              <w:rPr>
                <w:rFonts w:ascii="Arial"/>
                <w:w w:val="105"/>
                <w:sz w:val="19"/>
              </w:rPr>
              <w:t>pre-existing patient-practitioner </w:t>
            </w:r>
            <w:r>
              <w:rPr>
                <w:rFonts w:ascii="Arial"/>
                <w:w w:val="105"/>
                <w:sz w:val="19"/>
              </w:rPr>
              <w:t>relationship.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Regulation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719-1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b/>
                <w:bCs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sz w:val="19"/>
                <w:szCs w:val="19"/>
                <w:u w:val="single" w:color="000000"/>
              </w:rPr>
              <w:t>Workers’ </w:t>
            </w:r>
            <w:r>
              <w:rPr>
                <w:rFonts w:ascii="Arial" w:hAnsi="Arial" w:cs="Arial" w:eastAsia="Arial" w:hint="default"/>
                <w:b/>
                <w:bCs/>
                <w:spacing w:val="21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sz w:val="19"/>
                <w:szCs w:val="19"/>
                <w:u w:val="single" w:color="000000"/>
              </w:rPr>
              <w:t>Compensation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2"/>
                <w:sz w:val="19"/>
                <w:szCs w:val="19"/>
              </w:rPr>
            </w:r>
          </w:p>
          <w:p>
            <w:pPr>
              <w:pStyle w:val="TableParagraph"/>
              <w:spacing w:line="254" w:lineRule="auto" w:before="6"/>
              <w:ind w:left="150" w:right="8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physician-patient </w:t>
            </w:r>
            <w:r>
              <w:rPr>
                <w:rFonts w:ascii="Arial"/>
                <w:spacing w:val="-3"/>
                <w:w w:val="105"/>
                <w:sz w:val="19"/>
              </w:rPr>
              <w:t>rel </w:t>
            </w:r>
            <w:r>
              <w:rPr>
                <w:rFonts w:ascii="Arial"/>
                <w:w w:val="105"/>
                <w:sz w:val="19"/>
              </w:rPr>
              <w:t>ationshi p/psychologist-patient </w:t>
            </w:r>
            <w:r>
              <w:rPr>
                <w:rFonts w:ascii="Arial"/>
                <w:w w:val="105"/>
                <w:sz w:val="19"/>
              </w:rPr>
              <w:t>relationship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can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established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live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audio/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18.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0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643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shall gi </w:t>
            </w:r>
            <w:r>
              <w:rPr>
                <w:rFonts w:ascii="Arial"/>
                <w:spacing w:val="-12"/>
                <w:w w:val="105"/>
                <w:sz w:val="19"/>
              </w:rPr>
              <w:t>ve </w:t>
            </w:r>
            <w:r>
              <w:rPr>
                <w:rFonts w:ascii="Arial"/>
                <w:w w:val="105"/>
                <w:sz w:val="19"/>
              </w:rPr>
              <w:t>all first-time patients a written </w:t>
            </w:r>
            <w:r>
              <w:rPr>
                <w:rFonts w:ascii="Arial"/>
                <w:w w:val="105"/>
                <w:sz w:val="19"/>
              </w:rPr>
              <w:t>statement that includes the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following: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7" w:lineRule="auto" w:before="0" w:after="0"/>
              <w:ind w:left="795" w:right="127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 refuse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emedicine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spacing w:val="-4"/>
                <w:w w:val="105"/>
                <w:sz w:val="19"/>
              </w:rPr>
              <w:t>at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any </w:t>
            </w:r>
            <w:r>
              <w:rPr>
                <w:rFonts w:ascii="Arial"/>
                <w:w w:val="105"/>
                <w:sz w:val="19"/>
              </w:rPr>
              <w:t>time, without loss or wit hdrawal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treatment;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61" w:lineRule="auto" w:before="2" w:after="0"/>
              <w:ind w:left="795" w:right="42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All applicable confidentiality protections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shall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apply </w:t>
            </w:r>
            <w:r>
              <w:rPr>
                <w:rFonts w:ascii="Arial"/>
                <w:w w:val="105"/>
                <w:sz w:val="19"/>
              </w:rPr>
              <w:t>to the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4" w:lineRule="auto" w:before="0" w:after="0"/>
              <w:ind w:left="795" w:right="27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patient shall have access to all medical information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under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law.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25.5-5-320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76"/>
              <w:ind w:left="75" w:right="8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Medicaid requirem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face-to-face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contact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between provider and client may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be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waived prior to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treating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client through telemedicine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first time.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rendering provider must furnish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each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client with all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 the following written statements which must be signed by the client or the client’s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legal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representative: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6" w:val="left" w:leader="none"/>
              </w:tabs>
              <w:spacing w:line="249" w:lineRule="auto" w:before="135" w:after="0"/>
              <w:ind w:left="465" w:right="98" w:hanging="1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ains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option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refuse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delivery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spacing w:val="-8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tel emedicine at </w:t>
            </w:r>
            <w:r>
              <w:rPr>
                <w:rFonts w:ascii="Arial"/>
                <w:spacing w:val="-3"/>
                <w:w w:val="105"/>
                <w:sz w:val="19"/>
              </w:rPr>
              <w:t>any </w:t>
            </w:r>
            <w:r>
              <w:rPr>
                <w:rFonts w:ascii="Arial"/>
                <w:w w:val="105"/>
                <w:sz w:val="19"/>
              </w:rPr>
              <w:t>time </w:t>
            </w:r>
            <w:r>
              <w:rPr>
                <w:rFonts w:ascii="Arial"/>
                <w:w w:val="105"/>
                <w:sz w:val="19"/>
              </w:rPr>
              <w:t>without affecting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client's right to future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treatment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without risking the loss or withdrawal </w:t>
            </w:r>
            <w:r>
              <w:rPr>
                <w:rFonts w:ascii="Arial"/>
                <w:w w:val="105"/>
                <w:sz w:val="19"/>
              </w:rPr>
              <w:t>of any program benefits to which the client would otherwise </w:t>
            </w:r>
            <w:r>
              <w:rPr>
                <w:rFonts w:ascii="Arial"/>
                <w:spacing w:val="5"/>
                <w:w w:val="105"/>
                <w:sz w:val="19"/>
              </w:rPr>
              <w:t>be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entitled.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9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6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b/>
                <w:bCs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sz w:val="19"/>
                <w:szCs w:val="19"/>
                <w:u w:val="single" w:color="000000"/>
              </w:rPr>
              <w:t>Workers’ </w:t>
            </w:r>
            <w:r>
              <w:rPr>
                <w:rFonts w:ascii="Arial" w:hAnsi="Arial" w:cs="Arial" w:eastAsia="Arial" w:hint="default"/>
                <w:b/>
                <w:bCs/>
                <w:spacing w:val="21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sz w:val="19"/>
                <w:szCs w:val="19"/>
                <w:u w:val="single" w:color="000000"/>
              </w:rPr>
              <w:t>Compensation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2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patient needs to give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18.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</w:tabs>
              <w:spacing w:line="244" w:lineRule="auto" w:before="64" w:after="0"/>
              <w:ind w:left="465" w:right="216" w:hanging="1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All applicable confidentiality protections shall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apply </w:t>
            </w:r>
            <w:r>
              <w:rPr>
                <w:rFonts w:ascii="Arial"/>
                <w:w w:val="105"/>
                <w:sz w:val="19"/>
              </w:rPr>
              <w:t>to the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</w:tabs>
              <w:spacing w:line="240" w:lineRule="auto" w:before="19" w:after="0"/>
              <w:ind w:left="465" w:right="0" w:hanging="1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client shall </w:t>
            </w:r>
            <w:r>
              <w:rPr>
                <w:rFonts w:ascii="Arial"/>
                <w:spacing w:val="3"/>
                <w:w w:val="105"/>
                <w:sz w:val="19"/>
              </w:rPr>
              <w:t>have </w:t>
            </w:r>
            <w:r>
              <w:rPr>
                <w:rFonts w:ascii="Arial"/>
                <w:w w:val="105"/>
                <w:sz w:val="19"/>
              </w:rPr>
              <w:t>access to all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5"/>
              <w:ind w:left="465" w:right="14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information resulting from the telemedicine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w w:val="105"/>
                <w:sz w:val="19"/>
              </w:rPr>
              <w:t>as provided by applicable law for client access to his or her medical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records.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These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apply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an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emergency.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0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Assi</w:t>
            </w:r>
            <w:r>
              <w:rPr>
                <w:rFonts w:ascii="Arial"/>
                <w:b/>
                <w:i/>
                <w:color w:val="F47B20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stance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TelemedicineManual,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(Dec.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3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b/>
                <w:bCs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sz w:val="19"/>
                <w:szCs w:val="19"/>
                <w:u w:val="single" w:color="000000"/>
              </w:rPr>
              <w:t>Workers’ </w:t>
            </w:r>
            <w:r>
              <w:rPr>
                <w:rFonts w:ascii="Arial" w:hAnsi="Arial" w:cs="Arial" w:eastAsia="Arial" w:hint="default"/>
                <w:b/>
                <w:bCs/>
                <w:spacing w:val="21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sz w:val="19"/>
                <w:szCs w:val="19"/>
                <w:u w:val="single" w:color="000000"/>
              </w:rPr>
              <w:t>Compensation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2"/>
                <w:sz w:val="19"/>
                <w:szCs w:val="19"/>
              </w:rPr>
            </w:r>
          </w:p>
          <w:p>
            <w:pPr>
              <w:pStyle w:val="TableParagraph"/>
              <w:spacing w:line="247" w:lineRule="auto" w:before="21"/>
              <w:ind w:left="75" w:right="1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3"/>
                <w:w w:val="105"/>
                <w:sz w:val="19"/>
              </w:rPr>
              <w:t> via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telecomm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unications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ogies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not covered if the client has access to comparable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within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30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miles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his/her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residence.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22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facilities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bill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7"/>
                <w:w w:val="105"/>
                <w:sz w:val="19"/>
              </w:rPr>
              <w:t>if </w:t>
            </w:r>
            <w:r>
              <w:rPr>
                <w:rFonts w:ascii="Arial"/>
                <w:spacing w:val="7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is in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4" w:lineRule="auto" w:before="17" w:after="0"/>
              <w:ind w:left="795" w:right="88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County outside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 Metropolitan Statistical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Area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(MSA),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4" w:lineRule="auto" w:before="4" w:after="0"/>
              <w:ind w:left="795" w:right="27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Health Professional Shortage Area, either located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outside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MSA 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rural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census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17"/>
              <w:ind w:left="795" w:right="69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tract, as determined by the office of Rural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w w:val="105"/>
                <w:sz w:val="19"/>
              </w:rPr>
              <w:t>Policy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Resources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Administration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(HRSA)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Authorized originating sites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office of a physician or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critical access hospital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(CAH)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-4"/>
                <w:w w:val="105"/>
                <w:sz w:val="19"/>
              </w:rPr>
              <w:t>rural </w:t>
            </w:r>
            <w:r>
              <w:rPr>
                <w:rFonts w:ascii="Arial"/>
                <w:w w:val="105"/>
                <w:sz w:val="19"/>
              </w:rPr>
              <w:t>health clinic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(RHC)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federally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qualified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center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(FQHC)</w:t>
            </w:r>
            <w:r>
              <w:rPr>
                <w:rFonts w:ascii="Arial"/>
                <w:spacing w:val="3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61" w:lineRule="auto" w:before="7" w:after="0"/>
              <w:ind w:left="795" w:right="28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hospital based or critical access hospital based </w:t>
            </w:r>
            <w:r>
              <w:rPr>
                <w:rFonts w:ascii="Arial"/>
                <w:spacing w:val="2"/>
                <w:w w:val="105"/>
                <w:sz w:val="19"/>
              </w:rPr>
              <w:t>renal </w:t>
            </w:r>
            <w:r>
              <w:rPr>
                <w:rFonts w:ascii="Arial"/>
                <w:w w:val="105"/>
                <w:sz w:val="19"/>
              </w:rPr>
              <w:t>dialysis center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(including satellite)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22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skilled nursing facility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(SNF)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18.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4" w:right="23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enrolled </w:t>
            </w:r>
            <w:r>
              <w:rPr>
                <w:rFonts w:ascii="Arial"/>
                <w:spacing w:val="3"/>
                <w:w w:val="105"/>
                <w:sz w:val="19"/>
              </w:rPr>
              <w:t>managed </w:t>
            </w:r>
            <w:r>
              <w:rPr>
                <w:rFonts w:ascii="Arial"/>
                <w:w w:val="105"/>
                <w:sz w:val="19"/>
              </w:rPr>
              <w:t>care organization may require </w:t>
            </w:r>
            <w:r>
              <w:rPr>
                <w:rFonts w:ascii="Arial"/>
                <w:w w:val="105"/>
                <w:sz w:val="19"/>
              </w:rPr>
              <w:t>face-to-face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contact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between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services provided through telemedicine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if: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4" w:lineRule="auto" w:before="0" w:after="0"/>
              <w:ind w:left="795" w:right="34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mem ber resides in a county with a population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150,000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fewer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residents;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4" w:lineRule="auto" w:before="19" w:after="0"/>
              <w:ind w:left="795" w:right="43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county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w w:val="105"/>
                <w:sz w:val="19"/>
              </w:rPr>
              <w:t>the technol </w:t>
            </w:r>
            <w:r>
              <w:rPr>
                <w:rFonts w:ascii="Arial"/>
                <w:spacing w:val="-3"/>
                <w:w w:val="105"/>
                <w:sz w:val="19"/>
              </w:rPr>
              <w:t>ogy </w:t>
            </w:r>
            <w:r>
              <w:rPr>
                <w:rFonts w:ascii="Arial"/>
                <w:w w:val="105"/>
                <w:sz w:val="19"/>
              </w:rPr>
              <w:t>necessary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provide telemedicine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0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Assi</w:t>
            </w:r>
            <w:r>
              <w:rPr>
                <w:rFonts w:ascii="Arial"/>
                <w:b/>
                <w:i/>
                <w:color w:val="F47B20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stance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TelemedicineManual,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(Dec.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Licensure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13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4" w:right="15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Healt </w:t>
            </w:r>
            <w:r>
              <w:rPr>
                <w:rFonts w:ascii="Arial"/>
                <w:w w:val="105"/>
                <w:sz w:val="19"/>
              </w:rPr>
              <w:t>h </w:t>
            </w:r>
            <w:r>
              <w:rPr>
                <w:rFonts w:ascii="Arial"/>
                <w:spacing w:val="-3"/>
                <w:w w:val="105"/>
                <w:sz w:val="19"/>
              </w:rPr>
              <w:t>plans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patients in counties with 150,000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fewer residents cannot require face-to-fac e contact </w:t>
            </w:r>
            <w:r>
              <w:rPr>
                <w:rFonts w:ascii="Arial"/>
                <w:w w:val="105"/>
                <w:sz w:val="19"/>
              </w:rPr>
              <w:t>between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could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appropriately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emedicine.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9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These services are subject to all terms and conditions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10-16-123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Effective Jan. 1,</w:t>
            </w:r>
            <w:r>
              <w:rPr>
                <w:rFonts w:ascii="Arial"/>
                <w:b/>
                <w:spacing w:val="-9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2017: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2" w:lineRule="auto"/>
              <w:ind w:left="75" w:right="8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health benefit plan that is issued, amended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renewed shall not require in-person contact </w:t>
            </w:r>
            <w:r>
              <w:rPr>
                <w:rFonts w:ascii="Arial"/>
                <w:spacing w:val="-3"/>
                <w:w w:val="105"/>
                <w:sz w:val="19"/>
              </w:rPr>
              <w:t>bet </w:t>
            </w:r>
            <w:r>
              <w:rPr>
                <w:rFonts w:ascii="Arial"/>
                <w:w w:val="105"/>
                <w:sz w:val="19"/>
              </w:rPr>
              <w:t>ween a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covered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pers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appropriately </w:t>
            </w:r>
            <w:r>
              <w:rPr>
                <w:rFonts w:ascii="Arial"/>
                <w:w w:val="105"/>
                <w:sz w:val="19"/>
              </w:rPr>
              <w:t>provided through telehealth, subject to the terms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conditions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10-16-123(2)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(a)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574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Effective Jan. 1,</w:t>
            </w:r>
            <w:r>
              <w:rPr>
                <w:rFonts w:ascii="Arial"/>
                <w:b/>
                <w:spacing w:val="-9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2017: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2" w:lineRule="auto"/>
              <w:ind w:left="75" w:right="8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carrier </w:t>
            </w:r>
            <w:r>
              <w:rPr>
                <w:rFonts w:ascii="Arial"/>
                <w:spacing w:val="2"/>
                <w:w w:val="105"/>
                <w:sz w:val="19"/>
              </w:rPr>
              <w:t>shall </w:t>
            </w:r>
            <w:r>
              <w:rPr>
                <w:rFonts w:ascii="Arial"/>
                <w:w w:val="105"/>
                <w:sz w:val="19"/>
              </w:rPr>
              <w:t>include in the paym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 telehealt h </w:t>
            </w:r>
            <w:r>
              <w:rPr>
                <w:rFonts w:ascii="Arial"/>
                <w:w w:val="105"/>
                <w:sz w:val="19"/>
              </w:rPr>
              <w:t>interactions reasonable compensation to the 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the transmission cost incurred during the delivery </w:t>
            </w:r>
            <w:r>
              <w:rPr>
                <w:rFonts w:ascii="Arial"/>
                <w:w w:val="105"/>
                <w:sz w:val="19"/>
              </w:rPr>
              <w:t>of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services through tel ehealth except for </w:t>
            </w:r>
            <w:r>
              <w:rPr>
                <w:rFonts w:ascii="Arial"/>
                <w:w w:val="105"/>
                <w:sz w:val="19"/>
              </w:rPr>
              <w:t>when the 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is a private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residence.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10-16-123(2)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(c)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2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CO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Assistance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transmission </w:t>
            </w:r>
            <w:r>
              <w:rPr>
                <w:rFonts w:ascii="Arial"/>
                <w:spacing w:val="3"/>
                <w:w w:val="105"/>
                <w:sz w:val="19"/>
              </w:rPr>
              <w:t>costs, </w:t>
            </w:r>
            <w:r>
              <w:rPr>
                <w:rFonts w:ascii="Arial"/>
                <w:w w:val="105"/>
                <w:sz w:val="19"/>
              </w:rPr>
              <w:t>at a rate set by their state </w:t>
            </w:r>
            <w:r>
              <w:rPr>
                <w:rFonts w:ascii="Arial"/>
                <w:w w:val="105"/>
                <w:sz w:val="19"/>
              </w:rPr>
              <w:t>department.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25.5-5-320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5" w:right="44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may bill for a facility </w:t>
            </w:r>
            <w:r>
              <w:rPr>
                <w:rFonts w:ascii="Arial"/>
                <w:spacing w:val="-5"/>
                <w:w w:val="105"/>
                <w:sz w:val="19"/>
              </w:rPr>
              <w:t>fee. </w:t>
            </w:r>
            <w:r>
              <w:rPr>
                <w:rFonts w:ascii="Arial"/>
                <w:w w:val="105"/>
                <w:sz w:val="19"/>
              </w:rPr>
              <w:t>Eligible </w:t>
            </w:r>
            <w:r>
              <w:rPr>
                <w:rFonts w:ascii="Arial"/>
                <w:w w:val="105"/>
                <w:sz w:val="19"/>
              </w:rPr>
              <w:t>providers for a facility </w:t>
            </w:r>
            <w:r>
              <w:rPr>
                <w:rFonts w:ascii="Arial"/>
                <w:spacing w:val="-5"/>
                <w:w w:val="105"/>
                <w:sz w:val="19"/>
              </w:rPr>
              <w:t>fee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1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Clinic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Osteopat</w:t>
            </w:r>
            <w:r>
              <w:rPr>
                <w:rFonts w:ascii="Arial"/>
                <w:spacing w:val="-15"/>
                <w:sz w:val="19"/>
              </w:rPr>
              <w:t> </w:t>
            </w:r>
            <w:r>
              <w:rPr>
                <w:rFonts w:ascii="Arial"/>
                <w:sz w:val="19"/>
              </w:rPr>
              <w:t>h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FQHC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Psychologist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MA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Psychologist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Assistant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4" w:lineRule="auto"/>
              <w:ind w:left="75" w:right="10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 </w:t>
            </w:r>
            <w:r>
              <w:rPr>
                <w:rFonts w:ascii="Arial"/>
                <w:w w:val="105"/>
                <w:sz w:val="19"/>
              </w:rPr>
              <w:t>Medicaid </w:t>
            </w:r>
            <w:r>
              <w:rPr>
                <w:rFonts w:ascii="Arial"/>
                <w:spacing w:val="3"/>
                <w:w w:val="105"/>
                <w:sz w:val="19"/>
              </w:rPr>
              <w:t>pays </w:t>
            </w:r>
            <w:r>
              <w:rPr>
                <w:rFonts w:ascii="Arial"/>
                <w:w w:val="105"/>
                <w:sz w:val="19"/>
              </w:rPr>
              <w:t>a transmission fee </w:t>
            </w:r>
            <w:r>
              <w:rPr>
                <w:rFonts w:ascii="Arial"/>
                <w:spacing w:val="3"/>
                <w:w w:val="105"/>
                <w:sz w:val="19"/>
              </w:rPr>
              <w:t>when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certain </w:t>
            </w:r>
            <w:r>
              <w:rPr>
                <w:rFonts w:ascii="Arial"/>
                <w:spacing w:val="4"/>
                <w:w w:val="105"/>
                <w:sz w:val="19"/>
              </w:rPr>
              <w:t>CPT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codes are billed. See Telemedicine M anual for specific </w:t>
            </w:r>
            <w:r>
              <w:rPr>
                <w:rFonts w:ascii="Arial"/>
                <w:w w:val="105"/>
                <w:sz w:val="19"/>
              </w:rPr>
              <w:t>code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list.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180" w:lineRule="exact"/>
              <w:ind w:left="75" w:right="20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Assi</w:t>
            </w:r>
            <w:r>
              <w:rPr>
                <w:rFonts w:ascii="Arial"/>
                <w:b/>
                <w:i/>
                <w:color w:val="F47B20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stance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TelemedicineManual,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4-6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(Dec.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2015),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Jul.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9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Effective Jan. 1,</w:t>
            </w:r>
            <w:r>
              <w:rPr>
                <w:rFonts w:ascii="Arial"/>
                <w:b/>
                <w:spacing w:val="-9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2017: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2" w:lineRule="auto"/>
              <w:ind w:left="74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provider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required to </w:t>
            </w:r>
            <w:r>
              <w:rPr>
                <w:rFonts w:ascii="Arial"/>
                <w:spacing w:val="-3"/>
                <w:w w:val="105"/>
                <w:sz w:val="19"/>
              </w:rPr>
              <w:t>doc ument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-3"/>
                <w:w w:val="105"/>
                <w:sz w:val="19"/>
              </w:rPr>
              <w:t>dem </w:t>
            </w:r>
            <w:r>
              <w:rPr>
                <w:rFonts w:ascii="Arial"/>
                <w:w w:val="105"/>
                <w:sz w:val="19"/>
              </w:rPr>
              <w:t>onstrat e </w:t>
            </w:r>
            <w:r>
              <w:rPr>
                <w:rFonts w:ascii="Arial"/>
                <w:w w:val="105"/>
                <w:sz w:val="19"/>
              </w:rPr>
              <w:t>that a barrier to in-person care exists to trigger coverage under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benefit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 </w:t>
            </w:r>
            <w:r>
              <w:rPr>
                <w:rFonts w:ascii="Arial"/>
                <w:w w:val="105"/>
                <w:sz w:val="19"/>
              </w:rPr>
              <w:t>telehealth.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10-16-123(2)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(c)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5"/>
          <w:szCs w:val="15"/>
        </w:rPr>
      </w:pPr>
    </w:p>
    <w:p>
      <w:pPr>
        <w:pStyle w:val="BodyText"/>
        <w:tabs>
          <w:tab w:pos="1559" w:val="left" w:leader="none"/>
        </w:tabs>
        <w:spacing w:line="247" w:lineRule="auto" w:before="79"/>
        <w:ind w:left="1560" w:right="1026" w:hanging="1441"/>
        <w:jc w:val="left"/>
      </w:pPr>
      <w:r>
        <w:rPr>
          <w:rFonts w:ascii="Arial" w:hAnsi="Arial" w:cs="Arial" w:eastAsia="Arial" w:hint="default"/>
          <w:b/>
          <w:bCs/>
          <w:spacing w:val="-1"/>
        </w:rPr>
        <w:t>Comments:</w:t>
        <w:tab/>
      </w:r>
      <w:r>
        <w:rPr>
          <w:w w:val="105"/>
        </w:rPr>
        <w:t>Colorado</w:t>
      </w:r>
      <w:r>
        <w:rPr>
          <w:spacing w:val="-8"/>
          <w:w w:val="105"/>
        </w:rPr>
        <w:t> </w:t>
      </w:r>
      <w:r>
        <w:rPr>
          <w:spacing w:val="3"/>
          <w:w w:val="105"/>
        </w:rPr>
        <w:t>law</w:t>
      </w:r>
      <w:r>
        <w:rPr>
          <w:spacing w:val="-10"/>
          <w:w w:val="105"/>
        </w:rPr>
        <w:t> </w:t>
      </w:r>
      <w:r>
        <w:rPr>
          <w:w w:val="105"/>
        </w:rPr>
        <w:t>includes</w:t>
      </w:r>
      <w:r>
        <w:rPr>
          <w:spacing w:val="2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1"/>
          <w:w w:val="105"/>
        </w:rPr>
        <w:t>its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definition</w:t>
      </w:r>
      <w:r>
        <w:rPr>
          <w:spacing w:val="-8"/>
          <w:w w:val="105"/>
        </w:rPr>
        <w:t> </w:t>
      </w:r>
      <w:r>
        <w:rPr>
          <w:spacing w:val="5"/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“health</w:t>
      </w:r>
      <w:r>
        <w:rPr>
          <w:spacing w:val="-8"/>
          <w:w w:val="105"/>
        </w:rPr>
        <w:t> </w:t>
      </w:r>
      <w:r>
        <w:rPr>
          <w:spacing w:val="3"/>
          <w:w w:val="105"/>
        </w:rPr>
        <w:t>care</w:t>
      </w:r>
      <w:r>
        <w:rPr>
          <w:spacing w:val="-8"/>
          <w:w w:val="105"/>
        </w:rPr>
        <w:t> </w:t>
      </w:r>
      <w:r>
        <w:rPr>
          <w:spacing w:val="1"/>
          <w:w w:val="105"/>
        </w:rPr>
        <w:t>services”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1"/>
          <w:w w:val="105"/>
        </w:rPr>
        <w:t>rendering</w:t>
      </w:r>
      <w:r>
        <w:rPr>
          <w:spacing w:val="-8"/>
          <w:w w:val="105"/>
        </w:rPr>
        <w:t> </w:t>
      </w:r>
      <w:r>
        <w:rPr>
          <w:spacing w:val="5"/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services</w:t>
      </w:r>
      <w:r>
        <w:rPr>
          <w:spacing w:val="14"/>
          <w:w w:val="105"/>
        </w:rPr>
        <w:t> </w:t>
      </w:r>
      <w:r>
        <w:rPr>
          <w:spacing w:val="-8"/>
          <w:w w:val="105"/>
        </w:rPr>
        <w:t>via</w:t>
      </w:r>
      <w:r>
        <w:rPr>
          <w:w w:val="102"/>
        </w:rPr>
        <w:t> </w:t>
      </w:r>
      <w:r>
        <w:rPr>
          <w:w w:val="105"/>
        </w:rPr>
        <w:t>telemedicine.</w:t>
      </w:r>
      <w:r>
        <w:rPr/>
      </w:r>
    </w:p>
    <w:p>
      <w:pPr>
        <w:spacing w:line="240" w:lineRule="auto" w:before="8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560" w:right="1026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CO</w:t>
      </w:r>
      <w:r>
        <w:rPr>
          <w:rFonts w:ascii="Arial"/>
          <w:b/>
          <w:i/>
          <w:color w:val="F47B20"/>
          <w:spacing w:val="-8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Revised</w:t>
      </w:r>
      <w:r>
        <w:rPr>
          <w:rFonts w:ascii="Arial"/>
          <w:b/>
          <w:i/>
          <w:color w:val="F47B20"/>
          <w:spacing w:val="-11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Statutes</w:t>
      </w:r>
      <w:r>
        <w:rPr>
          <w:rFonts w:ascii="Arial"/>
          <w:b/>
          <w:i/>
          <w:color w:val="F47B20"/>
          <w:spacing w:val="-27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10-16-102</w:t>
      </w:r>
      <w:r>
        <w:rPr>
          <w:rFonts w:ascii="Arial"/>
          <w:b/>
          <w:i/>
          <w:color w:val="F47B20"/>
          <w:spacing w:val="-27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(2012).</w:t>
      </w:r>
      <w:r>
        <w:rPr>
          <w:rFonts w:ascii="Arial"/>
          <w:spacing w:val="-3"/>
          <w:sz w:val="16"/>
        </w:rPr>
      </w:r>
    </w:p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12016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11992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12064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12040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465" w:hanging="18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928" w:hanging="1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7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5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4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2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1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9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8" w:hanging="18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465" w:hanging="18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928" w:hanging="1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7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5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4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2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1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9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8" w:hanging="18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southwest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2016-05-07T00:43:57Z</dcterms:created>
  <dcterms:modified xsi:type="dcterms:W3CDTF">2016-05-07T00:43:57Z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